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r>
        <w:rPr>
          <w:rFonts w:hint="eastAsia"/>
          <w:b/>
          <w:bCs/>
          <w:sz w:val="44"/>
          <w:szCs w:val="44"/>
        </w:rPr>
        <w:t>集装箱智能理货管理平台建设</w:t>
      </w:r>
    </w:p>
    <w:p>
      <w:pPr>
        <w:jc w:val="center"/>
        <w:rPr>
          <w:b/>
          <w:bCs/>
          <w:sz w:val="44"/>
          <w:szCs w:val="44"/>
        </w:rPr>
      </w:pPr>
      <w:r>
        <w:rPr>
          <w:rFonts w:hint="eastAsia"/>
          <w:b/>
          <w:bCs/>
          <w:sz w:val="44"/>
          <w:szCs w:val="44"/>
        </w:rPr>
        <w:t>项目询价文件</w:t>
      </w:r>
    </w:p>
    <w:p/>
    <w:p>
      <w:pPr>
        <w:ind w:firstLine="640" w:firstLineChars="200"/>
        <w:rPr>
          <w:rFonts w:hint="eastAsia" w:ascii="黑体" w:hAnsi="黑体" w:eastAsia="黑体" w:cs="黑体"/>
          <w:sz w:val="32"/>
          <w:szCs w:val="32"/>
        </w:rPr>
      </w:pPr>
      <w:r>
        <w:rPr>
          <w:rFonts w:hint="eastAsia" w:ascii="黑体" w:hAnsi="黑体" w:eastAsia="黑体" w:cs="黑体"/>
          <w:sz w:val="32"/>
          <w:szCs w:val="32"/>
        </w:rPr>
        <w:t>一、总则</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项目遵循公开、公平、公正和诚实信用的原则，通过询价方式采购。在全部满足项目采购需求的前提下，按照报价最低的原则确定成交供应商，同时杜绝恶意低价竞争，确保项目质量、交付周期及长期稳定运行。</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本项目之目的，本文件“三、项目建设内容”即视为本项目核心与实质性要求，是供应商进行项目理解、技术方案设计与商务应答的根本依据。供应商的响应文件必须针对该部分内容作出具体、明确的响应。</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（三）评审小组将依据本文件规定的评审办法进行评审。所有评审过程中的原始记录，包括但不限于资格审查表、符合性审查表、成本审查报告等，均需完整留存，归档备查。</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二、项目基本信息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（一）项目名称：集装箱智能理货管理平台建设项目</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（二）采购单位：宁德中理外轮理货有限公司</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w:t>
      </w:r>
      <w:r>
        <w:rPr>
          <w:rFonts w:hint="eastAsia" w:ascii="仿宋_GB2312" w:hAnsi="仿宋_GB2312" w:eastAsia="仿宋_GB2312" w:cs="仿宋_GB2312"/>
          <w:sz w:val="32"/>
          <w:szCs w:val="32"/>
          <w:lang w:val="en-US" w:eastAsia="zh-CN"/>
        </w:rPr>
        <w:t>控制价</w:t>
      </w:r>
      <w:r>
        <w:rPr>
          <w:rFonts w:hint="eastAsia" w:ascii="仿宋_GB2312" w:hAnsi="仿宋_GB2312" w:eastAsia="仿宋_GB2312" w:cs="仿宋_GB2312"/>
          <w:sz w:val="32"/>
          <w:szCs w:val="32"/>
        </w:rPr>
        <w:t>：人民币60万元（含税），报价超过此金额的为无效报价。</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（四）实施周期：合同签订后20个日历日内，完成成熟软件产品的部署、与各系统（前端集装箱作业监控系统、码头TOS系统、海关系统）的接口联调、系统调试、用户培训，并交付试运行。</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（五）验收标准：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1.【产品成熟度要求】 所投软件产品须为已商业化、并具备至少1年以上成功应用案例的成熟产品。其所有功能模块必须完整实现，并符合本文件“三、项目建设内容”中的所有要求。</w:t>
      </w:r>
      <w:bookmarkStart w:id="0" w:name="_GoBack"/>
      <w:bookmarkEnd w:id="0"/>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系统必须与前端集装箱作业监控系统、码头TOS系统、海关系统实现成功对接，数据流转准确、稳定。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项目最终验收合格标准为：系统通过为期2个月的试运行考核，期间无因软件平台自身原因导致的系统崩溃、业务长时间停滞或核心功能模块失效等重大故障。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（六）维护要求：项目最终验收合格后，提供贰年免费维保服务。</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三、供应商资格要求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供应商须同时满足以下全部条件，方可参与报价：</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（一）【法人资格】具备独立企业法人资格，持有有效的营业执照。</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（二）【产品资质】须提供所投“集装箱智能理货管理平台”或近似软件产品的计算机软件著作权登记证书（复印件加盖公章）。</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（三）【对接能力】具备匹配前端集装箱作业监控系统、码头TOS系统及海关系统对接的能力，需提供同类系统对接的成功案例技术说明或针对本项目的接口测试方案。</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成功案例】需提供不少于1个在国内港口、物流、大型工业制造或智慧口岸领域的数据采集、流程管理或系统集成类软件项目成功案例合同关键页（含签字页、合同内容及金额）及最终用户出具的验收证明或良好运行证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（五）【售后服务】承诺提供完善的售后服务，包括2年免费维保及详细的服务网点、人员配置、响应时间承诺。</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（六）【联合体限制】本项目不接受联合体报价，不得转包或分包核心实施与集成服务内容。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（七）【工期承诺】承诺在20个日历日内完成部署、调试并交付试运行。</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（八）【项目踏勘】供应商须在响应文件提交截止前，自行联系采购单位完成项目现场踏勘，并将采购单位出具的《现场踏勘确认书》原件置于响应文件中。未提交《确认书》的，其响应文件视为无效。</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特别提示：成交后，供应商不得以不熟悉现场条件为由提出任何索赔或工期延期。</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四、项目建设内容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（一）门机智能理货操作系统（远程交接）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作业动态：实时展示前端系统OCR采集数据（箱号、ISO代码、车顶号等），理货员可对采集数据进行补采、修正并重新提交TOS系统。支持订阅指定门机数据，展示待确认和已确认列表。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装卸确认：理货员可查询具体OCR采集数据，进行人工修正，并与TOS指令比对，最终确认提交。</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记录查询：提供按门机、时间等条件查询所有历史采集记录，供理货员查看核对。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（二）理货中心（集装箱模块）</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EDI导入导出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EDI导入：船舶作业前，导入码头或代理提供的EDI报文，生成船图信息。</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EDI导出：船舶作业结束后，按实际理货情况，导出标准EDI报文发送给下一港码头或船公司代理。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作业调度：支持集装箱船舶信息登记、航次登记、船图结构维护等。</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集装箱登记：根据第三方报文或前端识别数据，进行集装箱理货确认，实时跟踪作业动态，完成理货作业。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文件管理：对理货过程中发现的异常情况（如残损）进行系统录入和图片管理，实现作业可追溯。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单证管理：根据理货结果，形成相关理货单证。</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发送舱单：船舶作业完成并经业务审核通过后，自动向海关发送电子舱单，并接收回执。</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（三）商务管理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委托单和费率管理：维护委托单信息及费率标准。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客户管理：维护客户基本信息、信用等级等。</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合同和费率管理：维护客户合同及费率信息，提供合同到期预警。</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基础数据管理：对系统常用标准化字段进行维护。</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台账与账单管理：根据实际业务生成业务台账，根据计费指令，生成业务账单。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（四）PDA理货APP</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支持岸边移动理货作业。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实现与理货中心系统的数据交换。</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五、报价与评审办法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（一）报价要求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供应商应就本项目的全部内容和</w:t>
      </w:r>
      <w:r>
        <w:rPr>
          <w:rFonts w:hint="eastAsia" w:ascii="仿宋_GB2312" w:hAnsi="仿宋_GB2312" w:eastAsia="仿宋_GB2312" w:cs="仿宋_GB2312"/>
          <w:sz w:val="32"/>
          <w:szCs w:val="32"/>
          <w:lang w:eastAsia="zh-CN"/>
        </w:rPr>
        <w:t>所有</w:t>
      </w:r>
      <w:r>
        <w:rPr>
          <w:rFonts w:hint="eastAsia" w:ascii="仿宋_GB2312" w:hAnsi="仿宋_GB2312" w:eastAsia="仿宋_GB2312" w:cs="仿宋_GB2312"/>
          <w:sz w:val="32"/>
          <w:szCs w:val="32"/>
        </w:rPr>
        <w:t>要求，一次性报出不得更改的包干总价。该报价一经提交，即视为最终报价，无任何更改或调整空间，供应商需对报价的完整性、准确性及合理性承担全部责任。</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报价费用包含范围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本次报价为项目全周期包干价，需涵盖完成本项目所需的一切费用，具体包含但不限于以下类别：</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软件基础费用：成熟软件产品的正式许可费用、合法授权费用；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实施落地费用：系统部署调试费、现场安装服务费、相关技术培训费用（含培训材料制作、人员差旅等）；</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税费及保障费用：符合国家规定的各类税费、项目验收后为期两年的免费维保费用（含故障维修、版本升级、技术支持等）；</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系统对接相关费用：本项目需与前端集装箱作业监控系统、码头TOS系统、海关系统实现无缝对接，因此报价需包含对接所需的接口开发费、软硬件配套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如有）</w:t>
      </w:r>
      <w:r>
        <w:rPr>
          <w:rFonts w:hint="eastAsia" w:ascii="仿宋_GB2312" w:hAnsi="仿宋_GB2312" w:eastAsia="仿宋_GB2312" w:cs="仿宋_GB2312"/>
          <w:sz w:val="32"/>
          <w:szCs w:val="32"/>
        </w:rPr>
        <w:t>采购 / 改造费、网络环境调试及对接测试费等全部相关成本。</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合规性要求及整改责任</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本项目的数据接口设计、实施工艺标准，必须严格符合理货公司数据交互规范、码头运营数据管理要求及海关监管相关标准，同时需全面遵循安全生产操作规范，确保项目全流程合法合规。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在项目实施过程中，出现不符合理货公司、码头或海关监管标准的情况，供应商须在甲方指定时限内无条件完成整改，且整改过程中产生的所有费用（包括人工、材料、技术调整等）均视为已包含在本次投标报价中，甲方无需额外支付任何费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（二）评审办法与成交原则</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本项目评审采用资格性审查、符合性审查和最低价成交的原则。经资格性审查和符合性审查后，符合要求的有效供应商不少于三家的，进入报价评审环节。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评审程序：</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资格性审查：评审小组依据本文件“三、供应商资格要求”对供应商进行审查，未通过者其响应文件无效。</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符合性审查：评审小组将依据本文件“三、项目建设内容”及“二、（五）、1”款【产品成熟度要求】对所有通过资格性审查的供应商进行评审。出现以下情形的，视为未实质性响应采购需求，其报价不进入后续评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未能提供有效的产品成熟度证明材料的，包括但不限于：</w:t>
      </w:r>
      <w:r>
        <w:rPr>
          <w:rFonts w:hint="eastAsia" w:ascii="仿宋_GB2312" w:hAnsi="仿宋_GB2312" w:eastAsia="仿宋_GB2312" w:cs="仿宋_GB2312"/>
          <w:sz w:val="32"/>
          <w:szCs w:val="32"/>
          <w:highlight w:val="none"/>
        </w:rPr>
        <w:t>《产品功能清单》</w:t>
      </w:r>
      <w:r>
        <w:rPr>
          <w:rFonts w:hint="eastAsia" w:ascii="仿宋_GB2312" w:hAnsi="仿宋_GB2312" w:eastAsia="仿宋_GB2312" w:cs="仿宋_GB2312"/>
          <w:sz w:val="32"/>
          <w:szCs w:val="32"/>
          <w:highlight w:val="none"/>
          <w:lang w:eastAsia="zh-CN"/>
        </w:rPr>
        <w:t>、类似产品</w:t>
      </w:r>
      <w:r>
        <w:rPr>
          <w:rFonts w:hint="eastAsia" w:ascii="仿宋_GB2312" w:hAnsi="仿宋_GB2312" w:eastAsia="仿宋_GB2312" w:cs="仿宋_GB2312"/>
          <w:sz w:val="32"/>
          <w:szCs w:val="32"/>
        </w:rPr>
        <w:t>软件著作权登记证书及至少1个成功应用案例的合同关键页与最终用户验收证明。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报价评审：在通过资格性审查和符合性审查的供应商中，按照报价由低到高的顺序选出成交候选人，报价最低的供应商为第一成交候选人。</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六、响应文件组成</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供应商须按以下顺序装订提交响应文件：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（一）第一部分：资格证明文件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营业执照复印件（加盖公章）</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法定代表人身份证明书及授权委托书（如适用）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3</w:t>
      </w:r>
      <w:r>
        <w:rPr>
          <w:rFonts w:hint="eastAsia" w:ascii="仿宋_GB2312" w:hAnsi="仿宋_GB2312" w:eastAsia="仿宋_GB2312" w:cs="仿宋_GB2312"/>
          <w:sz w:val="32"/>
          <w:szCs w:val="32"/>
        </w:rPr>
        <w:t>. 供应商资格声明函（格式见附件一）</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4</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类似产品</w:t>
      </w:r>
      <w:r>
        <w:rPr>
          <w:rFonts w:hint="eastAsia" w:ascii="仿宋_GB2312" w:hAnsi="仿宋_GB2312" w:eastAsia="仿宋_GB2312" w:cs="仿宋_GB2312"/>
          <w:sz w:val="32"/>
          <w:szCs w:val="32"/>
        </w:rPr>
        <w:t>软件著作权登记证书及成功案例证明材料（合同复印件及用户证明）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售后服务承诺书（格式见附件三）</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.《现场踏勘确认书》</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 工期承诺书（承诺20个日历日内完成）</w:t>
      </w:r>
    </w:p>
    <w:p>
      <w:pPr>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 产品成熟度证明材料：所投软件《产品功能清单》成功应用案例的合同关键页及最终用户验收证明或良好运行证明（该案例可同时用于满足资格要求第（四）项）。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（二）第二部分：技术文件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技术方案书（格式自拟，但需涵盖系统架构、对接方案、详细的实施计划（甘特图）、团队配置、数据准确性与业务流程保障方案等，参考附件四要点）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项目团队人员表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（三）第三部分：报价文件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报价一览表（格式见附件二）</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七、合同主要条款（摘要）</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（一）付款方式</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合同签订后支付合同总价的30%作为预付款。</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系统部署、集成联调完成，并交付试运行后支付40%。</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项目最终验收合格后支付20%。</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在2年免费维保期满后，经采购人考核确认供应商在维保期内完全履行了售后服务承诺书中的所有承诺，支付剩余10%的合同款项。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（二）违约</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逾期交付违约：逾期交付违约金的计算基数为“合同总价”。逾期交付的，每日按合同总价的千分之三支付违约金。逾期超过15天，采购人有权单方解除合同。</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质量违约：若因供应商原因，其提供的软件产品无法实现本文件要求的核心功能或系统对接，并在合理期限内整改后仍无法满足要求的，采购人有权单方解除合同，并要求供应商承担相应的违约责任。</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八、询价日程安排</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（一）响应文件提交截止时间：2025年12月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日上午11时00分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（二）响应文件开启时间：同提交截止时间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（三）地点：宁德中理外轮理货有限公司（福建省宁德市东侨经济开发区南湖滨路2号龙威经茂广场2幢14层1401、1406）</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九、联系方式</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联系人：徐榕榕    联系电话：18459318226</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 供应商资格声明函（模板）</w:t>
      </w:r>
    </w:p>
    <w:p>
      <w:pPr>
        <w:ind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 </w:t>
      </w:r>
      <w:r>
        <w:rPr>
          <w:rFonts w:hint="eastAsia" w:ascii="仿宋_GB2312" w:hAnsi="仿宋_GB2312" w:eastAsia="仿宋_GB2312" w:cs="仿宋_GB2312"/>
          <w:sz w:val="32"/>
          <w:szCs w:val="32"/>
          <w:lang w:eastAsia="zh-CN"/>
        </w:rPr>
        <w:t>项目报价表</w:t>
      </w:r>
    </w:p>
    <w:p>
      <w:pPr>
        <w:ind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售后服务承诺书（模板）</w:t>
      </w:r>
    </w:p>
    <w:p>
      <w:pPr>
        <w:ind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技术方案书（编写要点）</w:t>
      </w:r>
    </w:p>
    <w:p>
      <w:pPr>
        <w:ind w:firstLine="4160" w:firstLineChars="1300"/>
        <w:rPr>
          <w:rFonts w:hint="eastAsia" w:ascii="仿宋_GB2312" w:hAnsi="仿宋_GB2312" w:eastAsia="仿宋_GB2312" w:cs="仿宋_GB2312"/>
          <w:sz w:val="32"/>
          <w:szCs w:val="32"/>
        </w:rPr>
      </w:pPr>
    </w:p>
    <w:p>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宁德中理外轮理货有限公司</w:t>
      </w:r>
    </w:p>
    <w:p>
      <w:pPr>
        <w:ind w:firstLine="4800" w:firstLineChars="1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2025年11月2</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日</w:t>
      </w:r>
    </w:p>
    <w:p>
      <w:pPr>
        <w:rPr>
          <w:rFonts w:hint="eastAsia" w:ascii="仿宋_GB2312" w:hAnsi="仿宋_GB2312" w:eastAsia="仿宋_GB2312" w:cs="仿宋_GB2312"/>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附件</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rPr>
        <w:t>供应商资格声明函（模板）</w:t>
      </w:r>
    </w:p>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致：宁德中理外轮理货有限公司</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我单位郑重声明：</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我方已仔细阅读了贵方发布的《集装箱智能理货管理平台建设项目询价文件》的全部内容，并完全理解其中所有条款及要求。</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我方确认，具备独立法人资格，拥有专业的软件实施、技术服务团队及稳定的产品供应渠道。</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我方承诺，满足询价文件中规定的所有资格要求，并已在响应文件中提交了真实、有效的证明材料。</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我方确认，所投“集装箱智能理货管理平台”产品为已商业化、并具备一年以上成功应用案例的成熟产品，而非为本项目定制的原型或测试版。我方已按要求提交《产品功能清单》及成功案例证明。</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我方承诺，若被确定为成交供应商，将严格按照询价文件要求及我方承诺，在20个日历日内完成项目交付，并提供2年免费维保服务。</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我方承诺不接受联合体报价，不将核心内容转包或分包。</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以上声明如与事实不符，我方愿承担一切法律责任，并承担贵公司因此对我方进行的任何处罚。</w:t>
      </w:r>
    </w:p>
    <w:p>
      <w:pPr>
        <w:spacing w:line="520" w:lineRule="exact"/>
        <w:rPr>
          <w:rFonts w:hint="eastAsia" w:ascii="仿宋_GB2312" w:hAnsi="仿宋_GB2312" w:eastAsia="仿宋_GB2312" w:cs="仿宋_GB2312"/>
          <w:sz w:val="32"/>
          <w:szCs w:val="32"/>
        </w:rPr>
      </w:pPr>
    </w:p>
    <w:p>
      <w:pPr>
        <w:spacing w:line="520" w:lineRule="exact"/>
        <w:ind w:firstLine="3200" w:firstLineChars="1000"/>
        <w:rPr>
          <w:rFonts w:hint="eastAsia" w:ascii="仿宋_GB2312" w:hAnsi="仿宋_GB2312" w:eastAsia="仿宋_GB2312" w:cs="仿宋_GB2312"/>
          <w:sz w:val="32"/>
          <w:szCs w:val="32"/>
        </w:rPr>
      </w:pPr>
    </w:p>
    <w:p>
      <w:pPr>
        <w:spacing w:line="520" w:lineRule="exact"/>
        <w:ind w:firstLine="3200" w:firstLineChars="10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供应商名称（公章）：</w:t>
      </w:r>
    </w:p>
    <w:p>
      <w:pPr>
        <w:spacing w:line="520" w:lineRule="exact"/>
        <w:ind w:firstLine="3200" w:firstLineChars="10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pPr>
        <w:spacing w:line="520" w:lineRule="exact"/>
        <w:ind w:firstLine="3200" w:firstLineChars="10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附件</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lang w:eastAsia="zh-CN"/>
        </w:rPr>
        <w:t>项目报价表</w:t>
      </w:r>
    </w:p>
    <w:p>
      <w:pPr>
        <w:rPr>
          <w:rFonts w:hint="eastAsia" w:ascii="仿宋_GB2312" w:hAnsi="仿宋_GB2312" w:eastAsia="仿宋_GB2312" w:cs="仿宋_GB2312"/>
          <w:sz w:val="32"/>
          <w:szCs w:val="32"/>
        </w:rPr>
      </w:pPr>
    </w:p>
    <w:tbl>
      <w:tblPr>
        <w:tblStyle w:val="9"/>
        <w:tblW w:w="8333" w:type="dxa"/>
        <w:jc w:val="center"/>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Layout w:type="autofit"/>
        <w:tblCellMar>
          <w:top w:w="0" w:type="dxa"/>
          <w:left w:w="0" w:type="dxa"/>
          <w:bottom w:w="0" w:type="dxa"/>
          <w:right w:w="0" w:type="dxa"/>
        </w:tblCellMar>
      </w:tblPr>
      <w:tblGrid>
        <w:gridCol w:w="2270"/>
        <w:gridCol w:w="6063"/>
      </w:tblGrid>
      <w:tr>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0" w:type="dxa"/>
            <w:left w:w="0" w:type="dxa"/>
            <w:bottom w:w="0" w:type="dxa"/>
            <w:right w:w="0" w:type="dxa"/>
          </w:tblCellMar>
        </w:tblPrEx>
        <w:trPr>
          <w:trHeight w:val="635" w:hRule="atLeast"/>
          <w:tblHeader/>
          <w:jc w:val="center"/>
        </w:trPr>
        <w:tc>
          <w:tcPr>
            <w:tcW w:w="2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7"/>
              <w:widowControl/>
              <w:snapToGrid w:val="0"/>
              <w:jc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bCs/>
                <w:color w:val="000000"/>
                <w:sz w:val="32"/>
                <w:szCs w:val="32"/>
              </w:rPr>
              <w:t>项 目</w:t>
            </w:r>
          </w:p>
        </w:tc>
        <w:tc>
          <w:tcPr>
            <w:tcW w:w="60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7"/>
              <w:widowControl/>
              <w:snapToGrid w:val="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内容详情</w:t>
            </w:r>
          </w:p>
        </w:tc>
      </w:tr>
      <w:tr>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0" w:type="dxa"/>
            <w:left w:w="0" w:type="dxa"/>
            <w:bottom w:w="0" w:type="dxa"/>
            <w:right w:w="0" w:type="dxa"/>
          </w:tblCellMar>
        </w:tblPrEx>
        <w:trPr>
          <w:trHeight w:val="911" w:hRule="atLeast"/>
          <w:jc w:val="center"/>
        </w:trPr>
        <w:tc>
          <w:tcPr>
            <w:tcW w:w="2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7"/>
              <w:widowControl/>
              <w:snapToGrid w:val="0"/>
              <w:jc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项目名称</w:t>
            </w:r>
          </w:p>
        </w:tc>
        <w:tc>
          <w:tcPr>
            <w:tcW w:w="60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7"/>
              <w:widowControl/>
              <w:snapToGrid w:val="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集装箱智能理货管理平台建设项目</w:t>
            </w:r>
          </w:p>
        </w:tc>
      </w:tr>
      <w:tr>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0" w:type="dxa"/>
            <w:left w:w="0" w:type="dxa"/>
            <w:bottom w:w="0" w:type="dxa"/>
            <w:right w:w="0" w:type="dxa"/>
          </w:tblCellMar>
        </w:tblPrEx>
        <w:trPr>
          <w:trHeight w:val="1079" w:hRule="atLeast"/>
          <w:jc w:val="center"/>
        </w:trPr>
        <w:tc>
          <w:tcPr>
            <w:tcW w:w="2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7"/>
              <w:widowControl/>
              <w:snapToGrid w:val="0"/>
              <w:jc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报价总价（含税）</w:t>
            </w:r>
          </w:p>
        </w:tc>
        <w:tc>
          <w:tcPr>
            <w:tcW w:w="60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7"/>
              <w:widowControl/>
              <w:snapToGrid w:val="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人民币：___________ 元（大写：___________）</w:t>
            </w:r>
          </w:p>
        </w:tc>
      </w:tr>
      <w:tr>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0" w:type="dxa"/>
            <w:left w:w="0" w:type="dxa"/>
            <w:bottom w:w="0" w:type="dxa"/>
            <w:right w:w="0" w:type="dxa"/>
          </w:tblCellMar>
        </w:tblPrEx>
        <w:trPr>
          <w:trHeight w:val="779" w:hRule="atLeast"/>
          <w:jc w:val="center"/>
        </w:trPr>
        <w:tc>
          <w:tcPr>
            <w:tcW w:w="2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7"/>
              <w:widowControl/>
              <w:snapToGrid w:val="0"/>
              <w:jc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税率</w:t>
            </w:r>
          </w:p>
        </w:tc>
        <w:tc>
          <w:tcPr>
            <w:tcW w:w="60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7"/>
              <w:widowControl/>
              <w:snapToGrid w:val="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w:t>
            </w:r>
          </w:p>
        </w:tc>
      </w:tr>
      <w:tr>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0" w:type="dxa"/>
            <w:left w:w="0" w:type="dxa"/>
            <w:bottom w:w="0" w:type="dxa"/>
            <w:right w:w="0" w:type="dxa"/>
          </w:tblCellMar>
        </w:tblPrEx>
        <w:trPr>
          <w:trHeight w:val="971" w:hRule="atLeast"/>
          <w:jc w:val="center"/>
        </w:trPr>
        <w:tc>
          <w:tcPr>
            <w:tcW w:w="2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7"/>
              <w:widowControl/>
              <w:snapToGrid w:val="0"/>
              <w:jc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开发周期</w:t>
            </w:r>
          </w:p>
        </w:tc>
        <w:tc>
          <w:tcPr>
            <w:tcW w:w="60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7"/>
              <w:widowControl/>
              <w:snapToGrid w:val="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20个日历日（自合同生效日起计算）</w:t>
            </w:r>
          </w:p>
        </w:tc>
      </w:tr>
      <w:tr>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0" w:type="dxa"/>
            <w:left w:w="0" w:type="dxa"/>
            <w:bottom w:w="0" w:type="dxa"/>
            <w:right w:w="0" w:type="dxa"/>
          </w:tblCellMar>
        </w:tblPrEx>
        <w:trPr>
          <w:trHeight w:val="1115" w:hRule="atLeast"/>
          <w:jc w:val="center"/>
        </w:trPr>
        <w:tc>
          <w:tcPr>
            <w:tcW w:w="2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7"/>
              <w:widowControl/>
              <w:snapToGrid w:val="0"/>
              <w:jc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免费维保期</w:t>
            </w:r>
          </w:p>
        </w:tc>
        <w:tc>
          <w:tcPr>
            <w:tcW w:w="60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7"/>
              <w:widowControl/>
              <w:snapToGrid w:val="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2年（自项目验收合格之日起计算）</w:t>
            </w:r>
          </w:p>
        </w:tc>
      </w:tr>
      <w:tr>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0" w:type="dxa"/>
            <w:left w:w="0" w:type="dxa"/>
            <w:bottom w:w="0" w:type="dxa"/>
            <w:right w:w="0" w:type="dxa"/>
          </w:tblCellMar>
        </w:tblPrEx>
        <w:trPr>
          <w:jc w:val="center"/>
        </w:trPr>
        <w:tc>
          <w:tcPr>
            <w:tcW w:w="2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7"/>
              <w:widowControl/>
              <w:snapToGrid w:val="0"/>
              <w:ind w:firstLine="964" w:firstLineChars="3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备 注</w:t>
            </w:r>
          </w:p>
        </w:tc>
        <w:tc>
          <w:tcPr>
            <w:tcW w:w="60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pStyle w:val="7"/>
              <w:widowControl/>
              <w:snapToGrid w:val="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报价已包含以下全部费用：</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成熟软件产品许可与授权</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系统部署（含环境配置）</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操作培训（用户/管理员）</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第三方接口对接服务</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验收后2年免费维护与技术支持</w:t>
            </w:r>
          </w:p>
        </w:tc>
      </w:tr>
    </w:tbl>
    <w:p>
      <w:pPr>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以上</w:t>
      </w:r>
      <w:r>
        <w:rPr>
          <w:rFonts w:hint="eastAsia" w:ascii="仿宋_GB2312" w:hAnsi="仿宋_GB2312" w:eastAsia="仿宋_GB2312" w:cs="仿宋_GB2312"/>
          <w:color w:val="000000"/>
          <w:kern w:val="0"/>
          <w:sz w:val="32"/>
          <w:szCs w:val="32"/>
        </w:rPr>
        <w:t>报价已充分考虑并完全覆盖《技术方案》中所述全部工作的实施成本。</w:t>
      </w:r>
    </w:p>
    <w:p>
      <w:pPr>
        <w:ind w:firstLine="4160" w:firstLineChars="13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供应商名称（公章）：</w:t>
      </w:r>
    </w:p>
    <w:p>
      <w:pPr>
        <w:rPr>
          <w:rFonts w:hint="eastAsia" w:ascii="仿宋_GB2312" w:hAnsi="仿宋_GB2312" w:eastAsia="仿宋_GB2312" w:cs="仿宋_GB2312"/>
          <w:color w:val="000000"/>
          <w:kern w:val="0"/>
          <w:sz w:val="32"/>
          <w:szCs w:val="32"/>
        </w:rPr>
      </w:pPr>
    </w:p>
    <w:p>
      <w:pPr>
        <w:ind w:firstLine="4160" w:firstLineChars="13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日期： 年 月 日</w:t>
      </w:r>
    </w:p>
    <w:p>
      <w:pPr>
        <w:rPr>
          <w:rFonts w:hint="eastAsia" w:ascii="仿宋_GB2312" w:hAnsi="仿宋_GB2312" w:eastAsia="仿宋_GB2312" w:cs="仿宋_GB2312"/>
          <w:sz w:val="32"/>
          <w:szCs w:val="32"/>
        </w:rPr>
        <w:sectPr>
          <w:footerReference r:id="rId3" w:type="default"/>
          <w:pgSz w:w="11906" w:h="16838"/>
          <w:pgMar w:top="1440" w:right="1800" w:bottom="1440" w:left="1800" w:header="851" w:footer="992" w:gutter="0"/>
          <w:cols w:space="425" w:num="1"/>
          <w:docGrid w:type="lines" w:linePitch="312" w:charSpace="0"/>
        </w:sectPr>
      </w:pPr>
    </w:p>
    <w:p>
      <w:pPr>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附件</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rPr>
        <w:t>售后服务承诺书（模板）</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致：宁德中理外轮理货有限公司</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我单位承诺，一旦成交，将为“集装箱智能理货管理平台建设项目”提供如下售后服务：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免费维保期：自项目最终验收合格之日起，提供贰年免费质量保证和维护服务。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服务响应：</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提供7×24小时技术支持热线。</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遇到系统崩溃、业务停滞等严重故障，30分钟内响应，2小时内提出解决方案。</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一般性软件故障，2小时内响应，4小时内解决。</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定期巡检：免费维保期内，每季度提供一次系统健康检查及巡检服务。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培训：免费提供一次针对系统升级或新员工的操作培训。</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特此承诺。</w:t>
      </w:r>
    </w:p>
    <w:p>
      <w:pPr>
        <w:rPr>
          <w:rFonts w:hint="eastAsia" w:ascii="仿宋_GB2312" w:hAnsi="仿宋_GB2312" w:eastAsia="仿宋_GB2312" w:cs="仿宋_GB2312"/>
          <w:sz w:val="32"/>
          <w:szCs w:val="32"/>
        </w:rPr>
      </w:pPr>
    </w:p>
    <w:p>
      <w:pPr>
        <w:ind w:firstLine="3840" w:firstLineChars="1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供应商名称（公章）：</w:t>
      </w:r>
    </w:p>
    <w:p>
      <w:pPr>
        <w:ind w:firstLine="3840" w:firstLineChars="1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pPr>
        <w:rPr>
          <w:rFonts w:hint="eastAsia" w:ascii="仿宋_GB2312" w:hAnsi="仿宋_GB2312" w:eastAsia="仿宋_GB2312" w:cs="仿宋_GB2312"/>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附件</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sz w:val="32"/>
          <w:szCs w:val="32"/>
        </w:rPr>
        <w:t>技术方案书（编写要点）</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供应商的技术方案书应至少包含以下章节，以证明其方案的可行性与对询价文件的响应程度：</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总体架构设计： 系统技术架构图及说明，体现其成熟度和稳定性。</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核心功能实现： 针对门机智能理货操作系统、理货中心（集装箱模块）、PDA理货APP的功能实现方案。</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关键接口对接方案： 详细阐述与前端集装箱作业监控系统、TOS系统、海关系统的对接技术路线、数据格式、保障措施。</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产品成熟度证明：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产品功能清单：列出所投产品功能模块，并与询价文件“项目建设内容”进行对照。</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成功应用案例介绍：详细介绍至少一个同类成功案例的实施情况、应用效果及稳定性。</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项目实施计划与资源投入： 必须提供详细的实施计划（建议以甘特图形式），清晰展示</w:t>
      </w:r>
      <w:r>
        <w:rPr>
          <w:rFonts w:hint="eastAsia" w:ascii="仿宋_GB2312" w:hAnsi="仿宋_GB2312" w:eastAsia="仿宋_GB2312" w:cs="仿宋_GB2312"/>
          <w:sz w:val="32"/>
          <w:szCs w:val="32"/>
          <w:lang w:val="en-US" w:eastAsia="zh-CN"/>
        </w:rPr>
        <w:t>约定工期</w:t>
      </w:r>
      <w:r>
        <w:rPr>
          <w:rFonts w:hint="eastAsia" w:ascii="仿宋_GB2312" w:hAnsi="仿宋_GB2312" w:eastAsia="仿宋_GB2312" w:cs="仿宋_GB2312"/>
          <w:sz w:val="32"/>
          <w:szCs w:val="32"/>
        </w:rPr>
        <w:t>内的部署、联调、测试、培训等各阶段安排及关键路径。同时，方案必须明确说明为完成上述计划所投入的项目团队人员配置、角色职责、相关经验要求及各阶段投入工时，并提供保障工期的具体措施。该计划与资源投入方案将作为评审其工期承诺可行性的关键依据。</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项目团队：项目经理及核心成员简历、经验介绍。</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质量与风险控制： 项目质量管理方法和风险应对预案。</w:t>
      </w: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sz w:val="32"/>
          <w:szCs w:val="32"/>
        </w:rPr>
      </w:pPr>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C62E179-DA8E-456C-A83A-44FCE483613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63D0DBB5-B746-46AF-A7F2-2507C22D86DB}"/>
  </w:font>
  <w:font w:name="方正仿宋_GB2312">
    <w:altName w:val="仿宋"/>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EzYmRhNWEzZGNkYjVhYjE4ODZiYjZiMWE0NGQ0NWUifQ=="/>
  </w:docVars>
  <w:rsids>
    <w:rsidRoot w:val="36CB1854"/>
    <w:rsid w:val="0007608E"/>
    <w:rsid w:val="000D2708"/>
    <w:rsid w:val="00195C07"/>
    <w:rsid w:val="001D41F8"/>
    <w:rsid w:val="002632D3"/>
    <w:rsid w:val="00494E88"/>
    <w:rsid w:val="0065734D"/>
    <w:rsid w:val="006D5E87"/>
    <w:rsid w:val="0073387B"/>
    <w:rsid w:val="00907CB2"/>
    <w:rsid w:val="00960690"/>
    <w:rsid w:val="009B767F"/>
    <w:rsid w:val="009C689F"/>
    <w:rsid w:val="05BB3475"/>
    <w:rsid w:val="1AB727B4"/>
    <w:rsid w:val="1CC11A51"/>
    <w:rsid w:val="1F425F7A"/>
    <w:rsid w:val="246B49DB"/>
    <w:rsid w:val="253346A5"/>
    <w:rsid w:val="36CB1854"/>
    <w:rsid w:val="49134BEB"/>
    <w:rsid w:val="4B1D2132"/>
    <w:rsid w:val="56DE4468"/>
    <w:rsid w:val="56F25BBE"/>
    <w:rsid w:val="5CD81F01"/>
    <w:rsid w:val="69CF5B1A"/>
    <w:rsid w:val="74E30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0">
    <w:name w:val="Default Paragraph Font"/>
    <w:autoRedefine/>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autoRedefine/>
    <w:qFormat/>
    <w:uiPriority w:val="0"/>
    <w:pPr>
      <w:jc w:val="left"/>
    </w:pPr>
  </w:style>
  <w:style w:type="paragraph" w:styleId="4">
    <w:name w:val="Balloon Text"/>
    <w:basedOn w:val="1"/>
    <w:link w:val="14"/>
    <w:autoRedefine/>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autoRedefine/>
    <w:qFormat/>
    <w:uiPriority w:val="0"/>
    <w:pPr>
      <w:spacing w:beforeAutospacing="1" w:afterAutospacing="1"/>
      <w:jc w:val="left"/>
    </w:pPr>
    <w:rPr>
      <w:rFonts w:cs="Times New Roman"/>
      <w:kern w:val="0"/>
      <w:sz w:val="24"/>
    </w:rPr>
  </w:style>
  <w:style w:type="paragraph" w:styleId="8">
    <w:name w:val="annotation subject"/>
    <w:basedOn w:val="3"/>
    <w:next w:val="3"/>
    <w:link w:val="16"/>
    <w:qFormat/>
    <w:uiPriority w:val="0"/>
    <w:rPr>
      <w:b/>
      <w:bCs/>
    </w:rPr>
  </w:style>
  <w:style w:type="character" w:styleId="11">
    <w:name w:val="Strong"/>
    <w:basedOn w:val="10"/>
    <w:qFormat/>
    <w:uiPriority w:val="0"/>
    <w:rPr>
      <w:b/>
    </w:rPr>
  </w:style>
  <w:style w:type="character" w:styleId="12">
    <w:name w:val="HTML Code"/>
    <w:basedOn w:val="10"/>
    <w:qFormat/>
    <w:uiPriority w:val="0"/>
    <w:rPr>
      <w:rFonts w:ascii="Courier New" w:hAnsi="Courier New"/>
      <w:sz w:val="20"/>
    </w:rPr>
  </w:style>
  <w:style w:type="character" w:styleId="13">
    <w:name w:val="annotation reference"/>
    <w:basedOn w:val="10"/>
    <w:qFormat/>
    <w:uiPriority w:val="0"/>
    <w:rPr>
      <w:sz w:val="21"/>
      <w:szCs w:val="21"/>
    </w:rPr>
  </w:style>
  <w:style w:type="character" w:customStyle="1" w:styleId="14">
    <w:name w:val="批注框文本 字符"/>
    <w:basedOn w:val="10"/>
    <w:link w:val="4"/>
    <w:qFormat/>
    <w:uiPriority w:val="0"/>
    <w:rPr>
      <w:rFonts w:asciiTheme="minorHAnsi" w:hAnsiTheme="minorHAnsi" w:eastAsiaTheme="minorEastAsia" w:cstheme="minorBidi"/>
      <w:kern w:val="2"/>
      <w:sz w:val="18"/>
      <w:szCs w:val="18"/>
    </w:rPr>
  </w:style>
  <w:style w:type="character" w:customStyle="1" w:styleId="15">
    <w:name w:val="批注文字 字符"/>
    <w:basedOn w:val="10"/>
    <w:link w:val="3"/>
    <w:qFormat/>
    <w:uiPriority w:val="0"/>
    <w:rPr>
      <w:rFonts w:asciiTheme="minorHAnsi" w:hAnsiTheme="minorHAnsi" w:eastAsiaTheme="minorEastAsia" w:cstheme="minorBidi"/>
      <w:kern w:val="2"/>
      <w:sz w:val="21"/>
      <w:szCs w:val="24"/>
    </w:rPr>
  </w:style>
  <w:style w:type="character" w:customStyle="1" w:styleId="16">
    <w:name w:val="批注主题 字符"/>
    <w:basedOn w:val="15"/>
    <w:link w:val="8"/>
    <w:autoRedefine/>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A0F099-72B2-4426-AC62-F86A630EA14F}">
  <ds:schemaRefs/>
</ds:datastoreItem>
</file>

<file path=docProps/app.xml><?xml version="1.0" encoding="utf-8"?>
<Properties xmlns="http://schemas.openxmlformats.org/officeDocument/2006/extended-properties" xmlns:vt="http://schemas.openxmlformats.org/officeDocument/2006/docPropsVTypes">
  <Template>Normal</Template>
  <Pages>17</Pages>
  <Words>5519</Words>
  <Characters>5695</Characters>
  <Lines>60</Lines>
  <Paragraphs>16</Paragraphs>
  <TotalTime>15</TotalTime>
  <ScaleCrop>false</ScaleCrop>
  <LinksUpToDate>false</LinksUpToDate>
  <CharactersWithSpaces>5797</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2025-11-27T08:40:00Z</dcterms:created>
  <dc:creator>杨树</dc:creator>
  <cp:lastModifiedBy>Administrator</cp:lastModifiedBy>
  <dcterms:modified xsi:type="dcterms:W3CDTF">2025-11-28T03:00:47Z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21EB189EBEB2418F97C8516DB9AB89E4_13</vt:lpwstr>
  </property>
  <property fmtid="{D5CDD505-2E9C-101B-9397-08002B2CF9AE}" pid="4" name="KSOTemplateDocerSaveRecord">
    <vt:lpwstr>eyJoZGlkIjoiNzc3NDE2M2Y2YjMzMjFkYzdjOTM4Nzg5YjEwN2I0MGMiLCJ1c2VySWQiOiI0MDQ0OTQ4OTMifQ==</vt:lpwstr>
  </property>
</Properties>
</file>