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宁德港务集团有限公司</w:t>
      </w:r>
    </w:p>
    <w:p>
      <w:pPr>
        <w:widowControl/>
        <w:jc w:val="center"/>
        <w:rPr>
          <w:rFonts w:hint="eastAsia"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员工补充医疗团体健康险项目报价表</w:t>
      </w:r>
    </w:p>
    <w:p>
      <w:pPr>
        <w:widowControl/>
        <w:rPr>
          <w:rFonts w:hint="eastAsia" w:ascii="仿宋_GB2312" w:hAnsi="仿宋_GB2312" w:eastAsia="仿宋_GB2312" w:cs="仿宋_GB2312"/>
          <w:color w:val="000000"/>
          <w:sz w:val="32"/>
          <w:szCs w:val="32"/>
        </w:rPr>
      </w:pPr>
    </w:p>
    <w:tbl>
      <w:tblPr>
        <w:tblStyle w:val="4"/>
        <w:tblW w:w="0" w:type="auto"/>
        <w:jc w:val="center"/>
        <w:tblLayout w:type="fixed"/>
        <w:tblCellMar>
          <w:top w:w="0" w:type="dxa"/>
          <w:left w:w="0" w:type="dxa"/>
          <w:bottom w:w="0" w:type="dxa"/>
          <w:right w:w="0" w:type="dxa"/>
        </w:tblCellMar>
      </w:tblPr>
      <w:tblGrid>
        <w:gridCol w:w="743"/>
        <w:gridCol w:w="1985"/>
        <w:gridCol w:w="3119"/>
        <w:gridCol w:w="3118"/>
        <w:gridCol w:w="1394"/>
      </w:tblGrid>
      <w:tr>
        <w:tblPrEx>
          <w:tblCellMar>
            <w:top w:w="0" w:type="dxa"/>
            <w:left w:w="0" w:type="dxa"/>
            <w:bottom w:w="0" w:type="dxa"/>
            <w:right w:w="0" w:type="dxa"/>
          </w:tblCellMar>
        </w:tblPrEx>
        <w:trPr>
          <w:trHeight w:val="410" w:hRule="atLeast"/>
          <w:jc w:val="center"/>
        </w:trPr>
        <w:tc>
          <w:tcPr>
            <w:tcW w:w="2728" w:type="dxa"/>
            <w:gridSpan w:val="2"/>
            <w:tcBorders>
              <w:top w:val="single" w:color="000000" w:sz="8" w:space="0"/>
              <w:left w:val="single" w:color="000000" w:sz="8" w:space="0"/>
              <w:bottom w:val="single" w:color="000000" w:sz="8" w:space="0"/>
              <w:right w:val="single" w:color="000000" w:sz="8" w:space="0"/>
            </w:tcBorders>
            <w:noWrap w:val="0"/>
            <w:tcMar>
              <w:top w:w="15" w:type="dxa"/>
              <w:left w:w="76" w:type="dxa"/>
              <w:bottom w:w="0" w:type="dxa"/>
              <w:right w:w="76" w:type="dxa"/>
            </w:tcMar>
            <w:vAlign w:val="center"/>
          </w:tcPr>
          <w:p>
            <w:pPr>
              <w:spacing w:line="360" w:lineRule="exact"/>
              <w:jc w:val="center"/>
              <w:rPr>
                <w:rFonts w:ascii="仿宋_GB2312" w:hAnsi="等线" w:eastAsia="仿宋_GB2312"/>
                <w:szCs w:val="21"/>
              </w:rPr>
            </w:pPr>
            <w:r>
              <w:rPr>
                <w:rFonts w:hint="eastAsia" w:ascii="仿宋_GB2312" w:hAnsi="微软雅黑" w:eastAsia="仿宋_GB2312"/>
                <w:b/>
                <w:bCs/>
              </w:rPr>
              <w:t>保障责任</w:t>
            </w:r>
          </w:p>
        </w:tc>
        <w:tc>
          <w:tcPr>
            <w:tcW w:w="3119" w:type="dxa"/>
            <w:tcBorders>
              <w:top w:val="single" w:color="000000" w:sz="8" w:space="0"/>
              <w:left w:val="nil"/>
              <w:bottom w:val="single" w:color="000000" w:sz="8" w:space="0"/>
              <w:right w:val="single" w:color="000000" w:sz="8" w:space="0"/>
            </w:tcBorders>
            <w:noWrap w:val="0"/>
            <w:tcMar>
              <w:top w:w="15" w:type="dxa"/>
              <w:left w:w="76" w:type="dxa"/>
              <w:bottom w:w="0" w:type="dxa"/>
              <w:right w:w="76" w:type="dxa"/>
            </w:tcMar>
            <w:vAlign w:val="center"/>
          </w:tcPr>
          <w:p>
            <w:pPr>
              <w:jc w:val="center"/>
              <w:rPr>
                <w:rFonts w:ascii="仿宋_GB2312" w:hAnsi="等线" w:eastAsia="仿宋_GB2312"/>
                <w:szCs w:val="21"/>
              </w:rPr>
            </w:pPr>
            <w:r>
              <w:rPr>
                <w:rFonts w:hint="eastAsia" w:ascii="仿宋_GB2312" w:hAnsi="微软雅黑" w:eastAsia="仿宋_GB2312"/>
                <w:b/>
                <w:bCs/>
              </w:rPr>
              <w:t>责任描述</w:t>
            </w:r>
          </w:p>
        </w:tc>
        <w:tc>
          <w:tcPr>
            <w:tcW w:w="3118" w:type="dxa"/>
            <w:tcBorders>
              <w:top w:val="single" w:color="000000" w:sz="8" w:space="0"/>
              <w:left w:val="nil"/>
              <w:bottom w:val="single" w:color="000000" w:sz="8" w:space="0"/>
              <w:right w:val="single" w:color="000000" w:sz="8" w:space="0"/>
            </w:tcBorders>
            <w:noWrap w:val="0"/>
            <w:tcMar>
              <w:top w:w="15" w:type="dxa"/>
              <w:left w:w="76" w:type="dxa"/>
              <w:bottom w:w="0" w:type="dxa"/>
              <w:right w:w="76" w:type="dxa"/>
            </w:tcMar>
            <w:vAlign w:val="center"/>
          </w:tcPr>
          <w:p>
            <w:pPr>
              <w:spacing w:line="360" w:lineRule="exact"/>
              <w:jc w:val="center"/>
              <w:rPr>
                <w:rFonts w:ascii="仿宋_GB2312" w:hAnsi="等线" w:eastAsia="仿宋_GB2312"/>
                <w:szCs w:val="21"/>
              </w:rPr>
            </w:pPr>
            <w:r>
              <w:rPr>
                <w:rFonts w:hint="eastAsia" w:ascii="仿宋_GB2312" w:hAnsi="微软雅黑" w:eastAsia="仿宋_GB2312"/>
                <w:b/>
                <w:bCs/>
              </w:rPr>
              <w:t>赔付标准</w:t>
            </w:r>
          </w:p>
        </w:tc>
        <w:tc>
          <w:tcPr>
            <w:tcW w:w="1394" w:type="dxa"/>
            <w:tcBorders>
              <w:top w:val="single" w:color="000000" w:sz="8" w:space="0"/>
              <w:left w:val="nil"/>
              <w:bottom w:val="single" w:color="000000" w:sz="8" w:space="0"/>
              <w:right w:val="single" w:color="000000" w:sz="8" w:space="0"/>
            </w:tcBorders>
            <w:noWrap w:val="0"/>
            <w:tcMar>
              <w:top w:w="15" w:type="dxa"/>
              <w:left w:w="76" w:type="dxa"/>
              <w:bottom w:w="0" w:type="dxa"/>
              <w:right w:w="76" w:type="dxa"/>
            </w:tcMar>
            <w:vAlign w:val="center"/>
          </w:tcPr>
          <w:p>
            <w:pPr>
              <w:spacing w:line="360" w:lineRule="exact"/>
              <w:jc w:val="center"/>
              <w:rPr>
                <w:rFonts w:ascii="仿宋_GB2312" w:hAnsi="等线" w:eastAsia="仿宋_GB2312"/>
                <w:szCs w:val="21"/>
              </w:rPr>
            </w:pPr>
            <w:r>
              <w:rPr>
                <w:rFonts w:hint="eastAsia" w:ascii="仿宋_GB2312" w:hAnsi="微软雅黑" w:eastAsia="仿宋_GB2312"/>
                <w:b/>
                <w:bCs/>
              </w:rPr>
              <w:t>保额</w:t>
            </w:r>
          </w:p>
        </w:tc>
      </w:tr>
      <w:tr>
        <w:tblPrEx>
          <w:tblCellMar>
            <w:top w:w="0" w:type="dxa"/>
            <w:left w:w="0" w:type="dxa"/>
            <w:bottom w:w="0" w:type="dxa"/>
            <w:right w:w="0" w:type="dxa"/>
          </w:tblCellMar>
        </w:tblPrEx>
        <w:trPr>
          <w:trHeight w:val="714" w:hRule="atLeast"/>
          <w:jc w:val="center"/>
        </w:trPr>
        <w:tc>
          <w:tcPr>
            <w:tcW w:w="743" w:type="dxa"/>
            <w:vMerge w:val="restart"/>
            <w:tcBorders>
              <w:top w:val="single" w:color="auto" w:sz="4" w:space="0"/>
              <w:left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ascii="仿宋_GB2312" w:hAnsi="微软雅黑" w:eastAsia="仿宋_GB2312"/>
                <w:b/>
                <w:bCs/>
                <w:sz w:val="22"/>
              </w:rPr>
            </w:pPr>
            <w:r>
              <w:rPr>
                <w:rFonts w:hint="eastAsia" w:ascii="仿宋_GB2312" w:hAnsi="微软雅黑" w:eastAsia="仿宋_GB2312"/>
                <w:b/>
                <w:bCs/>
                <w:sz w:val="22"/>
              </w:rPr>
              <w:t>团体健康险</w:t>
            </w:r>
          </w:p>
        </w:tc>
        <w:tc>
          <w:tcPr>
            <w:tcW w:w="1985"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ascii="仿宋_GB2312" w:hAnsi="等线" w:eastAsia="仿宋_GB2312"/>
                <w:sz w:val="22"/>
                <w:szCs w:val="21"/>
              </w:rPr>
            </w:pPr>
            <w:r>
              <w:rPr>
                <w:rFonts w:hint="eastAsia" w:ascii="仿宋_GB2312" w:hAnsi="微软雅黑" w:eastAsia="仿宋_GB2312"/>
                <w:b/>
                <w:bCs/>
                <w:sz w:val="22"/>
              </w:rPr>
              <w:t>靶向药医疗</w:t>
            </w:r>
          </w:p>
        </w:tc>
        <w:tc>
          <w:tcPr>
            <w:tcW w:w="3119"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before="240" w:line="360" w:lineRule="exact"/>
              <w:rPr>
                <w:rFonts w:hint="eastAsia" w:ascii="仿宋_GB2312" w:hAnsi="等线" w:eastAsia="仿宋_GB2312"/>
                <w:sz w:val="22"/>
                <w:szCs w:val="21"/>
              </w:rPr>
            </w:pPr>
            <w:r>
              <w:rPr>
                <w:rFonts w:hint="eastAsia" w:ascii="仿宋_GB2312" w:hAnsi="微软雅黑" w:eastAsia="仿宋_GB2312"/>
                <w:sz w:val="22"/>
              </w:rPr>
              <w:t>治疗所罹患特定疾病的37种靶向药的费用。</w:t>
            </w:r>
          </w:p>
        </w:tc>
        <w:tc>
          <w:tcPr>
            <w:tcW w:w="3118"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hint="eastAsia" w:ascii="仿宋_GB2312" w:hAnsi="等线" w:eastAsia="仿宋_GB2312"/>
                <w:sz w:val="22"/>
                <w:szCs w:val="21"/>
              </w:rPr>
            </w:pPr>
            <w:r>
              <w:rPr>
                <w:rFonts w:hint="eastAsia" w:ascii="仿宋_GB2312" w:hAnsi="微软雅黑" w:eastAsia="仿宋_GB2312"/>
                <w:sz w:val="22"/>
              </w:rPr>
              <w:t>0免赔额，按70%赔付</w:t>
            </w:r>
          </w:p>
        </w:tc>
        <w:tc>
          <w:tcPr>
            <w:tcW w:w="1394"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ascii="仿宋_GB2312" w:hAnsi="微软雅黑" w:eastAsia="仿宋_GB2312"/>
                <w:b/>
                <w:bCs/>
                <w:sz w:val="22"/>
              </w:rPr>
            </w:pPr>
            <w:r>
              <w:rPr>
                <w:rFonts w:hint="eastAsia" w:ascii="仿宋_GB2312" w:hAnsi="微软雅黑" w:eastAsia="仿宋_GB2312"/>
                <w:b/>
                <w:bCs/>
                <w:sz w:val="22"/>
              </w:rPr>
              <w:t>100万</w:t>
            </w:r>
          </w:p>
        </w:tc>
      </w:tr>
      <w:tr>
        <w:tblPrEx>
          <w:tblCellMar>
            <w:top w:w="0" w:type="dxa"/>
            <w:left w:w="0" w:type="dxa"/>
            <w:bottom w:w="0" w:type="dxa"/>
            <w:right w:w="0" w:type="dxa"/>
          </w:tblCellMar>
        </w:tblPrEx>
        <w:trPr>
          <w:trHeight w:val="714" w:hRule="atLeast"/>
          <w:jc w:val="center"/>
        </w:trPr>
        <w:tc>
          <w:tcPr>
            <w:tcW w:w="743" w:type="dxa"/>
            <w:vMerge w:val="continue"/>
            <w:tcBorders>
              <w:left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ascii="仿宋_GB2312" w:hAnsi="微软雅黑" w:eastAsia="仿宋_GB2312"/>
                <w:b/>
                <w:bCs/>
                <w:sz w:val="22"/>
              </w:rPr>
            </w:pPr>
          </w:p>
        </w:tc>
        <w:tc>
          <w:tcPr>
            <w:tcW w:w="1985"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ascii="仿宋_GB2312" w:hAnsi="等线" w:eastAsia="仿宋_GB2312"/>
                <w:sz w:val="22"/>
                <w:szCs w:val="21"/>
              </w:rPr>
            </w:pPr>
            <w:r>
              <w:rPr>
                <w:rFonts w:hint="eastAsia" w:ascii="仿宋_GB2312" w:hAnsi="微软雅黑" w:eastAsia="仿宋_GB2312"/>
                <w:b/>
                <w:bCs/>
                <w:sz w:val="22"/>
              </w:rPr>
              <w:t>猝死</w:t>
            </w:r>
          </w:p>
        </w:tc>
        <w:tc>
          <w:tcPr>
            <w:tcW w:w="3119"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hint="eastAsia" w:ascii="仿宋_GB2312" w:hAnsi="等线" w:eastAsia="仿宋_GB2312"/>
                <w:sz w:val="22"/>
                <w:szCs w:val="21"/>
              </w:rPr>
            </w:pPr>
            <w:r>
              <w:rPr>
                <w:rFonts w:hint="eastAsia" w:ascii="仿宋_GB2312" w:hAnsi="微软雅黑" w:eastAsia="仿宋_GB2312"/>
                <w:sz w:val="22"/>
              </w:rPr>
              <w:t>因猝死导致的身故</w:t>
            </w:r>
          </w:p>
        </w:tc>
        <w:tc>
          <w:tcPr>
            <w:tcW w:w="3118"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hint="eastAsia" w:ascii="仿宋_GB2312" w:hAnsi="等线" w:eastAsia="仿宋_GB2312"/>
                <w:sz w:val="22"/>
                <w:szCs w:val="21"/>
              </w:rPr>
            </w:pPr>
            <w:r>
              <w:rPr>
                <w:rFonts w:hint="eastAsia" w:ascii="仿宋_GB2312" w:hAnsi="微软雅黑" w:eastAsia="仿宋_GB2312"/>
                <w:sz w:val="22"/>
              </w:rPr>
              <w:t>一次性赔付</w:t>
            </w:r>
          </w:p>
        </w:tc>
        <w:tc>
          <w:tcPr>
            <w:tcW w:w="1394"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ascii="仿宋_GB2312" w:hAnsi="等线" w:eastAsia="仿宋_GB2312"/>
                <w:sz w:val="22"/>
                <w:szCs w:val="21"/>
              </w:rPr>
            </w:pPr>
            <w:r>
              <w:rPr>
                <w:rFonts w:hint="eastAsia" w:ascii="仿宋_GB2312" w:hAnsi="微软雅黑" w:eastAsia="仿宋_GB2312"/>
                <w:b/>
                <w:bCs/>
                <w:sz w:val="22"/>
              </w:rPr>
              <w:t>30万</w:t>
            </w:r>
          </w:p>
        </w:tc>
      </w:tr>
      <w:tr>
        <w:tblPrEx>
          <w:tblCellMar>
            <w:top w:w="0" w:type="dxa"/>
            <w:left w:w="0" w:type="dxa"/>
            <w:bottom w:w="0" w:type="dxa"/>
            <w:right w:w="0" w:type="dxa"/>
          </w:tblCellMar>
        </w:tblPrEx>
        <w:trPr>
          <w:trHeight w:val="958" w:hRule="atLeast"/>
          <w:jc w:val="center"/>
        </w:trPr>
        <w:tc>
          <w:tcPr>
            <w:tcW w:w="743" w:type="dxa"/>
            <w:vMerge w:val="continue"/>
            <w:tcBorders>
              <w:left w:val="single" w:color="auto" w:sz="4" w:space="0"/>
              <w:right w:val="single" w:color="auto" w:sz="4" w:space="0"/>
            </w:tcBorders>
            <w:noWrap w:val="0"/>
            <w:vAlign w:val="center"/>
          </w:tcPr>
          <w:p>
            <w:pPr>
              <w:rPr>
                <w:rFonts w:ascii="仿宋_GB2312" w:hAnsi="等线" w:eastAsia="仿宋_GB2312"/>
                <w:sz w:val="22"/>
                <w:szCs w:val="21"/>
              </w:rPr>
            </w:pPr>
          </w:p>
        </w:tc>
        <w:tc>
          <w:tcPr>
            <w:tcW w:w="1985"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ascii="仿宋_GB2312" w:hAnsi="等线" w:eastAsia="仿宋_GB2312"/>
                <w:sz w:val="22"/>
                <w:szCs w:val="21"/>
              </w:rPr>
            </w:pPr>
            <w:r>
              <w:rPr>
                <w:rFonts w:hint="eastAsia" w:ascii="仿宋_GB2312" w:hAnsi="微软雅黑" w:eastAsia="仿宋_GB2312"/>
                <w:b/>
                <w:bCs/>
                <w:sz w:val="22"/>
              </w:rPr>
              <w:t>重大疾病</w:t>
            </w:r>
          </w:p>
        </w:tc>
        <w:tc>
          <w:tcPr>
            <w:tcW w:w="3119"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hint="eastAsia" w:ascii="仿宋_GB2312" w:hAnsi="等线" w:eastAsia="仿宋_GB2312"/>
                <w:sz w:val="22"/>
                <w:szCs w:val="21"/>
              </w:rPr>
            </w:pPr>
            <w:r>
              <w:rPr>
                <w:rFonts w:hint="eastAsia" w:ascii="仿宋_GB2312" w:hAnsi="微软雅黑" w:eastAsia="仿宋_GB2312"/>
                <w:sz w:val="22"/>
              </w:rPr>
              <w:t>初次罹患约定的</w:t>
            </w:r>
            <w:r>
              <w:rPr>
                <w:rFonts w:ascii="仿宋_GB2312" w:hAnsi="微软雅黑" w:eastAsia="仿宋_GB2312"/>
                <w:sz w:val="22"/>
              </w:rPr>
              <w:t>100</w:t>
            </w:r>
            <w:r>
              <w:rPr>
                <w:rFonts w:hint="eastAsia" w:ascii="仿宋_GB2312" w:hAnsi="微软雅黑" w:eastAsia="仿宋_GB2312"/>
                <w:sz w:val="22"/>
              </w:rPr>
              <w:t>种重大疾病。</w:t>
            </w:r>
          </w:p>
        </w:tc>
        <w:tc>
          <w:tcPr>
            <w:tcW w:w="3118"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hint="eastAsia" w:ascii="仿宋_GB2312" w:hAnsi="等线" w:eastAsia="仿宋_GB2312"/>
                <w:sz w:val="22"/>
                <w:szCs w:val="21"/>
              </w:rPr>
            </w:pPr>
            <w:r>
              <w:rPr>
                <w:rFonts w:hint="eastAsia" w:ascii="仿宋_GB2312" w:hAnsi="微软雅黑" w:eastAsia="仿宋_GB2312"/>
                <w:sz w:val="22"/>
              </w:rPr>
              <w:t>一次性赔付</w:t>
            </w:r>
          </w:p>
        </w:tc>
        <w:tc>
          <w:tcPr>
            <w:tcW w:w="1394"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spacing w:line="360" w:lineRule="exact"/>
              <w:jc w:val="center"/>
              <w:rPr>
                <w:rFonts w:ascii="仿宋_GB2312" w:hAnsi="等线" w:eastAsia="仿宋_GB2312"/>
                <w:sz w:val="22"/>
                <w:szCs w:val="21"/>
              </w:rPr>
            </w:pPr>
            <w:r>
              <w:rPr>
                <w:rFonts w:hint="eastAsia" w:ascii="仿宋_GB2312" w:hAnsi="微软雅黑" w:eastAsia="仿宋_GB2312"/>
                <w:b/>
                <w:bCs/>
                <w:sz w:val="22"/>
              </w:rPr>
              <w:t>30万</w:t>
            </w:r>
          </w:p>
        </w:tc>
      </w:tr>
      <w:tr>
        <w:tblPrEx>
          <w:tblCellMar>
            <w:top w:w="0" w:type="dxa"/>
            <w:left w:w="0" w:type="dxa"/>
            <w:bottom w:w="0" w:type="dxa"/>
            <w:right w:w="0" w:type="dxa"/>
          </w:tblCellMar>
        </w:tblPrEx>
        <w:trPr>
          <w:trHeight w:val="1072" w:hRule="atLeast"/>
          <w:jc w:val="center"/>
        </w:trPr>
        <w:tc>
          <w:tcPr>
            <w:tcW w:w="743" w:type="dxa"/>
            <w:vMerge w:val="continue"/>
            <w:tcBorders>
              <w:left w:val="single" w:color="auto" w:sz="4" w:space="0"/>
              <w:right w:val="single" w:color="auto" w:sz="4" w:space="0"/>
            </w:tcBorders>
            <w:noWrap w:val="0"/>
            <w:vAlign w:val="center"/>
          </w:tcPr>
          <w:p>
            <w:pPr>
              <w:rPr>
                <w:rFonts w:ascii="仿宋_GB2312" w:hAnsi="等线" w:eastAsia="仿宋_GB2312"/>
                <w:sz w:val="22"/>
                <w:szCs w:val="21"/>
              </w:rPr>
            </w:pPr>
          </w:p>
        </w:tc>
        <w:tc>
          <w:tcPr>
            <w:tcW w:w="1985"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jc w:val="center"/>
              <w:rPr>
                <w:rFonts w:ascii="仿宋_GB2312" w:hAnsi="微软雅黑" w:eastAsia="仿宋_GB2312"/>
                <w:b/>
                <w:bCs/>
                <w:sz w:val="22"/>
              </w:rPr>
            </w:pPr>
            <w:r>
              <w:rPr>
                <w:rFonts w:hint="eastAsia" w:ascii="仿宋_GB2312" w:hAnsi="微软雅黑" w:eastAsia="仿宋_GB2312"/>
                <w:b/>
                <w:bCs/>
                <w:sz w:val="22"/>
              </w:rPr>
              <w:t>轻症疾病</w:t>
            </w:r>
          </w:p>
        </w:tc>
        <w:tc>
          <w:tcPr>
            <w:tcW w:w="3119"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jc w:val="center"/>
              <w:rPr>
                <w:rFonts w:hint="eastAsia" w:ascii="仿宋_GB2312" w:hAnsi="微软雅黑" w:eastAsia="仿宋_GB2312"/>
                <w:sz w:val="22"/>
              </w:rPr>
            </w:pPr>
            <w:r>
              <w:rPr>
                <w:rFonts w:hint="eastAsia" w:ascii="仿宋_GB2312" w:hAnsi="微软雅黑" w:eastAsia="仿宋_GB2312"/>
                <w:sz w:val="22"/>
              </w:rPr>
              <w:t>初次罹患约定的50种轻症疾病。</w:t>
            </w:r>
          </w:p>
        </w:tc>
        <w:tc>
          <w:tcPr>
            <w:tcW w:w="3118"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jc w:val="center"/>
              <w:rPr>
                <w:rFonts w:hint="eastAsia" w:ascii="仿宋_GB2312" w:hAnsi="微软雅黑" w:eastAsia="仿宋_GB2312"/>
                <w:sz w:val="22"/>
              </w:rPr>
            </w:pPr>
            <w:r>
              <w:rPr>
                <w:rFonts w:hint="eastAsia" w:ascii="仿宋_GB2312" w:hAnsi="微软雅黑" w:eastAsia="仿宋_GB2312"/>
                <w:sz w:val="22"/>
              </w:rPr>
              <w:t>一次性赔付</w:t>
            </w:r>
          </w:p>
        </w:tc>
        <w:tc>
          <w:tcPr>
            <w:tcW w:w="1394"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jc w:val="center"/>
              <w:rPr>
                <w:rFonts w:ascii="仿宋_GB2312" w:hAnsi="微软雅黑" w:eastAsia="仿宋_GB2312"/>
                <w:b/>
                <w:bCs/>
                <w:sz w:val="22"/>
              </w:rPr>
            </w:pPr>
            <w:r>
              <w:rPr>
                <w:rFonts w:hint="eastAsia" w:ascii="仿宋_GB2312" w:hAnsi="微软雅黑" w:eastAsia="仿宋_GB2312"/>
                <w:b/>
                <w:bCs/>
                <w:sz w:val="22"/>
              </w:rPr>
              <w:t>9万</w:t>
            </w:r>
          </w:p>
        </w:tc>
      </w:tr>
      <w:tr>
        <w:tblPrEx>
          <w:tblCellMar>
            <w:top w:w="0" w:type="dxa"/>
            <w:left w:w="0" w:type="dxa"/>
            <w:bottom w:w="0" w:type="dxa"/>
            <w:right w:w="0" w:type="dxa"/>
          </w:tblCellMar>
        </w:tblPrEx>
        <w:trPr>
          <w:trHeight w:val="1072" w:hRule="atLeast"/>
          <w:jc w:val="center"/>
        </w:trPr>
        <w:tc>
          <w:tcPr>
            <w:tcW w:w="743" w:type="dxa"/>
            <w:vMerge w:val="continue"/>
            <w:tcBorders>
              <w:left w:val="single" w:color="auto" w:sz="4" w:space="0"/>
              <w:bottom w:val="single" w:color="auto" w:sz="4" w:space="0"/>
              <w:right w:val="single" w:color="auto" w:sz="4" w:space="0"/>
            </w:tcBorders>
            <w:noWrap w:val="0"/>
            <w:vAlign w:val="center"/>
          </w:tcPr>
          <w:p>
            <w:pPr>
              <w:rPr>
                <w:rFonts w:ascii="仿宋_GB2312" w:hAnsi="等线" w:eastAsia="仿宋_GB2312"/>
                <w:sz w:val="22"/>
                <w:szCs w:val="21"/>
              </w:rPr>
            </w:pPr>
          </w:p>
        </w:tc>
        <w:tc>
          <w:tcPr>
            <w:tcW w:w="1985"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jc w:val="center"/>
              <w:rPr>
                <w:rFonts w:ascii="仿宋_GB2312" w:hAnsi="微软雅黑" w:eastAsia="仿宋_GB2312"/>
                <w:b/>
                <w:bCs/>
                <w:sz w:val="22"/>
              </w:rPr>
            </w:pPr>
            <w:r>
              <w:rPr>
                <w:rFonts w:hint="eastAsia" w:ascii="仿宋_GB2312" w:hAnsi="微软雅黑" w:eastAsia="仿宋_GB2312"/>
                <w:b/>
                <w:bCs/>
                <w:sz w:val="22"/>
              </w:rPr>
              <w:t>住院医疗</w:t>
            </w:r>
          </w:p>
        </w:tc>
        <w:tc>
          <w:tcPr>
            <w:tcW w:w="3119"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jc w:val="center"/>
              <w:rPr>
                <w:rFonts w:hint="eastAsia" w:ascii="仿宋_GB2312" w:hAnsi="微软雅黑" w:eastAsia="仿宋_GB2312"/>
                <w:sz w:val="22"/>
              </w:rPr>
            </w:pPr>
            <w:r>
              <w:rPr>
                <w:rFonts w:hint="eastAsia" w:ascii="仿宋_GB2312" w:hAnsi="微软雅黑" w:eastAsia="仿宋_GB2312"/>
                <w:sz w:val="22"/>
              </w:rPr>
              <w:t>在医院进行住院治疗的符合基本医疗目录范围内的合理费用（扩展乙类自付）</w:t>
            </w:r>
          </w:p>
        </w:tc>
        <w:tc>
          <w:tcPr>
            <w:tcW w:w="3118"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jc w:val="center"/>
              <w:rPr>
                <w:rFonts w:hint="eastAsia" w:ascii="仿宋_GB2312" w:hAnsi="微软雅黑" w:eastAsia="仿宋_GB2312"/>
                <w:sz w:val="22"/>
              </w:rPr>
            </w:pPr>
            <w:r>
              <w:rPr>
                <w:rFonts w:hint="eastAsia" w:ascii="仿宋_GB2312" w:hAnsi="微软雅黑" w:eastAsia="仿宋_GB2312"/>
                <w:sz w:val="22"/>
              </w:rPr>
              <w:t>0免赔，90%赔付</w:t>
            </w:r>
          </w:p>
        </w:tc>
        <w:tc>
          <w:tcPr>
            <w:tcW w:w="1394" w:type="dxa"/>
            <w:tcBorders>
              <w:top w:val="single" w:color="auto" w:sz="4" w:space="0"/>
              <w:left w:val="single" w:color="auto" w:sz="4" w:space="0"/>
              <w:bottom w:val="single" w:color="auto" w:sz="4" w:space="0"/>
              <w:right w:val="single" w:color="auto" w:sz="4" w:space="0"/>
            </w:tcBorders>
            <w:noWrap w:val="0"/>
            <w:tcMar>
              <w:top w:w="15" w:type="dxa"/>
              <w:left w:w="76" w:type="dxa"/>
              <w:bottom w:w="0" w:type="dxa"/>
              <w:right w:w="76" w:type="dxa"/>
            </w:tcMar>
            <w:vAlign w:val="center"/>
          </w:tcPr>
          <w:p>
            <w:pPr>
              <w:jc w:val="center"/>
              <w:rPr>
                <w:rFonts w:ascii="仿宋_GB2312" w:hAnsi="微软雅黑" w:eastAsia="仿宋_GB2312"/>
                <w:b/>
                <w:bCs/>
                <w:sz w:val="22"/>
              </w:rPr>
            </w:pPr>
            <w:r>
              <w:rPr>
                <w:rFonts w:hint="eastAsia" w:ascii="仿宋_GB2312" w:hAnsi="微软雅黑" w:eastAsia="仿宋_GB2312"/>
                <w:b/>
                <w:bCs/>
                <w:sz w:val="22"/>
              </w:rPr>
              <w:t>10万</w:t>
            </w:r>
          </w:p>
        </w:tc>
      </w:tr>
      <w:tr>
        <w:tblPrEx>
          <w:tblCellMar>
            <w:top w:w="0" w:type="dxa"/>
            <w:left w:w="0" w:type="dxa"/>
            <w:bottom w:w="0" w:type="dxa"/>
            <w:right w:w="0" w:type="dxa"/>
          </w:tblCellMar>
        </w:tblPrEx>
        <w:trPr>
          <w:trHeight w:val="1072" w:hRule="atLeast"/>
          <w:jc w:val="center"/>
        </w:trPr>
        <w:tc>
          <w:tcPr>
            <w:tcW w:w="10359" w:type="dxa"/>
            <w:gridSpan w:val="5"/>
            <w:tcBorders>
              <w:top w:val="single" w:color="auto" w:sz="4" w:space="0"/>
              <w:left w:val="single" w:color="auto" w:sz="4" w:space="0"/>
              <w:bottom w:val="single" w:color="auto" w:sz="4" w:space="0"/>
              <w:right w:val="single" w:color="auto" w:sz="4" w:space="0"/>
            </w:tcBorders>
            <w:noWrap w:val="0"/>
            <w:vAlign w:val="center"/>
          </w:tcPr>
          <w:p>
            <w:pPr>
              <w:ind w:firstLine="221" w:firstLineChars="100"/>
              <w:rPr>
                <w:rFonts w:hint="eastAsia" w:ascii="仿宋_GB2312" w:hAnsi="微软雅黑" w:eastAsia="仿宋_GB2312"/>
                <w:b/>
                <w:bCs/>
                <w:sz w:val="22"/>
              </w:rPr>
            </w:pPr>
            <w:r>
              <w:rPr>
                <w:rFonts w:hint="eastAsia" w:ascii="仿宋_GB2312" w:hAnsi="微软雅黑" w:eastAsia="仿宋_GB2312"/>
                <w:b/>
                <w:bCs/>
                <w:sz w:val="22"/>
              </w:rPr>
              <w:t xml:space="preserve">保费     元/人/年  </w:t>
            </w:r>
          </w:p>
        </w:tc>
      </w:tr>
      <w:tr>
        <w:tblPrEx>
          <w:tblCellMar>
            <w:top w:w="0" w:type="dxa"/>
            <w:left w:w="0" w:type="dxa"/>
            <w:bottom w:w="0" w:type="dxa"/>
            <w:right w:w="0" w:type="dxa"/>
          </w:tblCellMar>
        </w:tblPrEx>
        <w:trPr>
          <w:trHeight w:val="1072" w:hRule="atLeast"/>
          <w:jc w:val="center"/>
        </w:trPr>
        <w:tc>
          <w:tcPr>
            <w:tcW w:w="10359" w:type="dxa"/>
            <w:gridSpan w:val="5"/>
            <w:tcBorders>
              <w:top w:val="single" w:color="auto" w:sz="4" w:space="0"/>
              <w:left w:val="single" w:color="auto" w:sz="4" w:space="0"/>
              <w:bottom w:val="single" w:color="auto" w:sz="4" w:space="0"/>
              <w:right w:val="single" w:color="auto" w:sz="4" w:space="0"/>
            </w:tcBorders>
            <w:noWrap w:val="0"/>
            <w:vAlign w:val="center"/>
          </w:tcPr>
          <w:p>
            <w:pPr>
              <w:ind w:firstLine="221" w:firstLineChars="100"/>
              <w:rPr>
                <w:rFonts w:hint="eastAsia" w:ascii="仿宋_GB2312" w:hAnsi="微软雅黑" w:eastAsia="仿宋_GB2312"/>
                <w:b/>
                <w:bCs/>
                <w:sz w:val="22"/>
              </w:rPr>
            </w:pPr>
            <w:r>
              <w:rPr>
                <w:rFonts w:hint="eastAsia" w:ascii="仿宋_GB2312" w:hAnsi="微软雅黑" w:eastAsia="仿宋_GB2312"/>
                <w:b/>
                <w:bCs/>
                <w:sz w:val="22"/>
              </w:rPr>
              <w:t>赠送项目或增值服务：</w:t>
            </w:r>
          </w:p>
          <w:p>
            <w:pPr>
              <w:ind w:firstLine="221" w:firstLineChars="100"/>
              <w:rPr>
                <w:rFonts w:ascii="仿宋_GB2312" w:hAnsi="微软雅黑" w:eastAsia="仿宋_GB2312"/>
                <w:b/>
                <w:bCs/>
                <w:sz w:val="22"/>
              </w:rPr>
            </w:pPr>
            <w:r>
              <w:rPr>
                <w:rFonts w:hint="eastAsia" w:ascii="仿宋_GB2312" w:hAnsi="微软雅黑" w:eastAsia="仿宋_GB2312"/>
                <w:b/>
                <w:bCs/>
                <w:sz w:val="22"/>
              </w:rPr>
              <w:t xml:space="preserve">                                              </w:t>
            </w:r>
          </w:p>
        </w:tc>
      </w:tr>
      <w:tr>
        <w:tblPrEx>
          <w:tblCellMar>
            <w:top w:w="0" w:type="dxa"/>
            <w:left w:w="0" w:type="dxa"/>
            <w:bottom w:w="0" w:type="dxa"/>
            <w:right w:w="0" w:type="dxa"/>
          </w:tblCellMar>
        </w:tblPrEx>
        <w:trPr>
          <w:trHeight w:val="1072" w:hRule="atLeast"/>
          <w:jc w:val="center"/>
        </w:trPr>
        <w:tc>
          <w:tcPr>
            <w:tcW w:w="10359" w:type="dxa"/>
            <w:gridSpan w:val="5"/>
            <w:tcBorders>
              <w:top w:val="single" w:color="auto" w:sz="4" w:space="0"/>
              <w:left w:val="single" w:color="auto" w:sz="4" w:space="0"/>
              <w:bottom w:val="single" w:color="auto" w:sz="4" w:space="0"/>
              <w:right w:val="single" w:color="auto" w:sz="4" w:space="0"/>
            </w:tcBorders>
            <w:noWrap w:val="0"/>
            <w:vAlign w:val="center"/>
          </w:tcPr>
          <w:p>
            <w:pPr>
              <w:ind w:firstLine="221" w:firstLineChars="100"/>
              <w:rPr>
                <w:rFonts w:hint="eastAsia" w:ascii="仿宋_GB2312" w:hAnsi="微软雅黑" w:eastAsia="仿宋_GB2312"/>
                <w:b/>
                <w:bCs/>
                <w:sz w:val="22"/>
              </w:rPr>
            </w:pPr>
            <w:r>
              <w:rPr>
                <w:rFonts w:hint="eastAsia" w:ascii="仿宋_GB2312" w:hAnsi="微软雅黑" w:eastAsia="仿宋_GB2312"/>
                <w:b/>
                <w:bCs/>
                <w:sz w:val="22"/>
              </w:rPr>
              <w:t xml:space="preserve">其他事项说明： </w:t>
            </w:r>
          </w:p>
        </w:tc>
      </w:tr>
      <w:tr>
        <w:tblPrEx>
          <w:tblCellMar>
            <w:top w:w="0" w:type="dxa"/>
            <w:left w:w="0" w:type="dxa"/>
            <w:bottom w:w="0" w:type="dxa"/>
            <w:right w:w="0" w:type="dxa"/>
          </w:tblCellMar>
        </w:tblPrEx>
        <w:trPr>
          <w:trHeight w:val="1072" w:hRule="atLeast"/>
          <w:jc w:val="center"/>
        </w:trPr>
        <w:tc>
          <w:tcPr>
            <w:tcW w:w="10359" w:type="dxa"/>
            <w:gridSpan w:val="5"/>
            <w:tcBorders>
              <w:top w:val="single" w:color="auto" w:sz="4" w:space="0"/>
              <w:left w:val="single" w:color="auto" w:sz="4" w:space="0"/>
              <w:bottom w:val="single" w:color="auto" w:sz="4" w:space="0"/>
              <w:right w:val="single" w:color="auto" w:sz="4" w:space="0"/>
            </w:tcBorders>
            <w:noWrap w:val="0"/>
            <w:vAlign w:val="center"/>
          </w:tcPr>
          <w:p>
            <w:pPr>
              <w:ind w:firstLine="7068" w:firstLineChars="3200"/>
              <w:rPr>
                <w:rFonts w:ascii="仿宋_GB2312" w:hAnsi="微软雅黑" w:eastAsia="仿宋_GB2312"/>
                <w:b/>
                <w:bCs/>
                <w:sz w:val="22"/>
              </w:rPr>
            </w:pPr>
            <w:r>
              <w:rPr>
                <w:rFonts w:hint="eastAsia" w:ascii="仿宋_GB2312" w:hAnsi="微软雅黑" w:eastAsia="仿宋_GB2312"/>
                <w:b/>
                <w:bCs/>
                <w:sz w:val="22"/>
              </w:rPr>
              <w:t>年   月    日 （盖公章）</w:t>
            </w:r>
          </w:p>
        </w:tc>
      </w:tr>
    </w:tbl>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spacing w:line="360" w:lineRule="auto"/>
        <w:rPr>
          <w:rFonts w:hint="eastAsia" w:ascii="微软雅黑" w:hAnsi="微软雅黑" w:eastAsia="微软雅黑"/>
          <w:b/>
          <w:bCs/>
          <w:sz w:val="24"/>
          <w:szCs w:val="28"/>
        </w:rPr>
      </w:pPr>
    </w:p>
    <w:p>
      <w:pPr>
        <w:spacing w:line="360" w:lineRule="auto"/>
        <w:rPr>
          <w:rFonts w:ascii="微软雅黑" w:hAnsi="微软雅黑" w:eastAsia="微软雅黑"/>
          <w:b/>
          <w:bCs/>
          <w:sz w:val="24"/>
          <w:szCs w:val="28"/>
        </w:rPr>
      </w:pPr>
      <w:r>
        <w:rPr>
          <w:rFonts w:hint="eastAsia" w:ascii="微软雅黑" w:hAnsi="微软雅黑" w:eastAsia="微软雅黑"/>
          <w:b/>
          <w:bCs/>
          <w:sz w:val="24"/>
          <w:szCs w:val="28"/>
        </w:rPr>
        <w:t>附表1、1</w:t>
      </w:r>
      <w:r>
        <w:rPr>
          <w:rFonts w:ascii="微软雅黑" w:hAnsi="微软雅黑" w:eastAsia="微软雅黑"/>
          <w:b/>
          <w:bCs/>
          <w:sz w:val="24"/>
          <w:szCs w:val="28"/>
        </w:rPr>
        <w:t>00</w:t>
      </w:r>
      <w:r>
        <w:rPr>
          <w:rFonts w:hint="eastAsia" w:ascii="微软雅黑" w:hAnsi="微软雅黑" w:eastAsia="微软雅黑"/>
          <w:b/>
          <w:bCs/>
          <w:sz w:val="24"/>
          <w:szCs w:val="28"/>
        </w:rPr>
        <w:t>种重大疾病</w:t>
      </w:r>
    </w:p>
    <w:tbl>
      <w:tblPr>
        <w:tblStyle w:val="4"/>
        <w:tblW w:w="8730" w:type="dxa"/>
        <w:tblInd w:w="108" w:type="dxa"/>
        <w:tblLayout w:type="autofit"/>
        <w:tblCellMar>
          <w:top w:w="0" w:type="dxa"/>
          <w:left w:w="108" w:type="dxa"/>
          <w:bottom w:w="0" w:type="dxa"/>
          <w:right w:w="108" w:type="dxa"/>
        </w:tblCellMar>
      </w:tblPr>
      <w:tblGrid>
        <w:gridCol w:w="4356"/>
        <w:gridCol w:w="4374"/>
      </w:tblGrid>
      <w:tr>
        <w:tblPrEx>
          <w:tblCellMar>
            <w:top w:w="0" w:type="dxa"/>
            <w:left w:w="108" w:type="dxa"/>
            <w:bottom w:w="0" w:type="dxa"/>
            <w:right w:w="108" w:type="dxa"/>
          </w:tblCellMar>
        </w:tblPrEx>
        <w:trPr>
          <w:trHeight w:val="455"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b/>
                <w:color w:val="000000"/>
                <w:kern w:val="0"/>
                <w:sz w:val="18"/>
                <w:szCs w:val="20"/>
              </w:rPr>
            </w:pPr>
            <w:r>
              <w:rPr>
                <w:rFonts w:hint="eastAsia" w:ascii="微软雅黑" w:hAnsi="微软雅黑" w:eastAsia="微软雅黑" w:cs="宋体"/>
                <w:b/>
                <w:color w:val="000000"/>
                <w:kern w:val="0"/>
                <w:sz w:val="18"/>
                <w:szCs w:val="20"/>
              </w:rPr>
              <w:t>疾病名称</w:t>
            </w:r>
          </w:p>
        </w:tc>
        <w:tc>
          <w:tcPr>
            <w:tcW w:w="43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微软雅黑" w:hAnsi="微软雅黑" w:eastAsia="微软雅黑" w:cs="宋体"/>
                <w:b/>
                <w:color w:val="000000"/>
                <w:kern w:val="0"/>
                <w:sz w:val="18"/>
                <w:szCs w:val="20"/>
              </w:rPr>
            </w:pPr>
            <w:r>
              <w:rPr>
                <w:rFonts w:hint="eastAsia" w:ascii="微软雅黑" w:hAnsi="微软雅黑" w:eastAsia="微软雅黑" w:cs="宋体"/>
                <w:b/>
                <w:color w:val="000000"/>
                <w:kern w:val="0"/>
                <w:sz w:val="18"/>
                <w:szCs w:val="20"/>
              </w:rPr>
              <w:t>疾病名称</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（一）恶性肿瘤——重度</w:t>
            </w:r>
          </w:p>
        </w:tc>
        <w:tc>
          <w:tcPr>
            <w:tcW w:w="4374" w:type="dxa"/>
            <w:tcBorders>
              <w:top w:val="single" w:color="auto" w:sz="4" w:space="0"/>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（五十一）脊柱裂</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（二）较重急性心肌梗死</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（五十二）严重冠状动脉粥样硬化性心脏病</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（三）严重脑中风后遗症</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（五十三）全身性（型）重症肌无力</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（四）重大器官移植术或造血干细胞移植术</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（五十四）严重心肌炎</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（五）冠状动脉搭桥术（或称冠状动脉旁路移植术）</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（五十五）肺淋巴管肌瘤病</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（六）严重慢性肾衰竭</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（五十六）严重感染性心内膜炎</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（七）多个肢体缺失</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（五十七）严重的肺源性心脏病</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（八）急性重症肝炎或亚急性重症肝炎</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（五十八）肾髓质囊性病</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（九）严重非恶性颅内肿瘤</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（五十九）败血症导致的多器官功能障碍综合征</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（十）严重慢性肝衰竭</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（六十）进行性核上性麻痹</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（十一）严重脑炎后遗症或严重脑膜炎后遗症</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（六十一）失去一肢及一眼</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（十二）深度昏迷</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（六十二）需手术切除的嗜铬细胞瘤</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（十三）双耳失聪</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（六十三）颅脑手术</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（十四）双目失明</w:t>
            </w:r>
          </w:p>
        </w:tc>
        <w:tc>
          <w:tcPr>
            <w:tcW w:w="4374" w:type="dxa"/>
            <w:tcBorders>
              <w:top w:val="nil"/>
              <w:left w:val="nil"/>
              <w:bottom w:val="single" w:color="auto" w:sz="4" w:space="0"/>
              <w:right w:val="single" w:color="auto" w:sz="4" w:space="0"/>
            </w:tcBorders>
            <w:noWrap/>
            <w:vAlign w:val="center"/>
          </w:tcPr>
          <w:p>
            <w:pPr>
              <w:widowControl/>
              <w:jc w:val="left"/>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（六十四）严重自身免疫性肝炎</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（十五）瘫痪</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（六十五）艾森门格综合征</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（十六）心脏瓣膜手术</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（六十六）严重获得性或继发性肺泡蛋白质沉积症</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（十七）严重阿尔茨海默病</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（六十七）严重慢性缩窄性心包炎</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（十八）严重脑损伤</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（六十八）胆道重建手术</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（十九）严重原发性帕金森病</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（六十九）严重亚历山大病</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（二十）严重Ⅲ度烧伤</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（七十）肌萎缩脊髓侧索硬化后遗症</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（二十一）严重特发性肺动脉高压</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（七十一）严重结核性脑膜炎</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（二十二）严重运动神经元病</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（七十二）严重肠道疾病并发症</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（二十三）语言能力丧失</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（七十三）瑞氏综合征</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（二十四）重型再生障碍性贫血</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（七十四）神经白塞病</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（二十五）主动脉手术</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（七十五）严重面部烧伤</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（二十六）严重慢性呼吸衰竭</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（七十六）严重川崎病</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（二十七）严重克罗恩病</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（七十七）重症手足口病</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（二十八）严重溃疡性结肠炎</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（七十八）严重哮喘</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（二十九）严重的1 型糖尿病</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（七十九）器官移植导致的HIV感染</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（三十）系统性红斑狼疮并发重度的肾功能损害</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（八十）进行性多灶性白质脑病</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（三十一）严重的多发性硬化</w:t>
            </w:r>
          </w:p>
        </w:tc>
        <w:tc>
          <w:tcPr>
            <w:tcW w:w="4374" w:type="dxa"/>
            <w:tcBorders>
              <w:top w:val="single" w:color="auto" w:sz="4" w:space="0"/>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（八十一）脊髓小脑变性症</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（三十二）严重的原发性心肌病</w:t>
            </w:r>
          </w:p>
        </w:tc>
        <w:tc>
          <w:tcPr>
            <w:tcW w:w="4374" w:type="dxa"/>
            <w:tcBorders>
              <w:top w:val="single" w:color="auto" w:sz="4" w:space="0"/>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（八十二）多处臂丛神经根性撕脱</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（三十三）侵蚀性葡萄胎（或称恶性葡萄胎）</w:t>
            </w:r>
          </w:p>
        </w:tc>
        <w:tc>
          <w:tcPr>
            <w:tcW w:w="4374" w:type="dxa"/>
            <w:tcBorders>
              <w:top w:val="single" w:color="auto" w:sz="4" w:space="0"/>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（八十三）细菌性脑脊髓膜炎</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（三十四）胰腺移植</w:t>
            </w:r>
          </w:p>
        </w:tc>
        <w:tc>
          <w:tcPr>
            <w:tcW w:w="4374"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（八十四）疾病或外伤所致智力障碍</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b w:val="0"/>
                <w:bCs/>
                <w:color w:val="000000"/>
                <w:kern w:val="0"/>
                <w:sz w:val="18"/>
                <w:szCs w:val="20"/>
              </w:rPr>
            </w:pPr>
            <w:r>
              <w:rPr>
                <w:rFonts w:hint="eastAsia" w:ascii="微软雅黑" w:hAnsi="微软雅黑" w:eastAsia="微软雅黑" w:cs="宋体"/>
                <w:b w:val="0"/>
                <w:bCs/>
                <w:color w:val="000000"/>
                <w:kern w:val="0"/>
                <w:sz w:val="18"/>
                <w:szCs w:val="20"/>
              </w:rPr>
              <w:t>（三十五）埃博拉病毒感染</w:t>
            </w:r>
          </w:p>
        </w:tc>
        <w:tc>
          <w:tcPr>
            <w:tcW w:w="4374"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（八十五）严重幼年型类风湿性关节炎</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b/>
                <w:color w:val="000000"/>
                <w:kern w:val="0"/>
                <w:sz w:val="18"/>
                <w:szCs w:val="20"/>
              </w:rPr>
            </w:pPr>
            <w:r>
              <w:rPr>
                <w:rFonts w:hint="eastAsia" w:ascii="微软雅黑" w:hAnsi="微软雅黑" w:eastAsia="微软雅黑" w:cs="宋体"/>
                <w:b/>
                <w:color w:val="000000"/>
                <w:kern w:val="0"/>
                <w:sz w:val="18"/>
                <w:szCs w:val="20"/>
              </w:rPr>
              <w:t>疾病名称</w:t>
            </w:r>
          </w:p>
        </w:tc>
        <w:tc>
          <w:tcPr>
            <w:tcW w:w="4374" w:type="dxa"/>
            <w:tcBorders>
              <w:top w:val="single" w:color="auto" w:sz="4" w:space="0"/>
              <w:left w:val="nil"/>
              <w:bottom w:val="single" w:color="auto" w:sz="4" w:space="0"/>
              <w:right w:val="single" w:color="auto" w:sz="4" w:space="0"/>
            </w:tcBorders>
            <w:noWrap/>
            <w:vAlign w:val="center"/>
          </w:tcPr>
          <w:p>
            <w:pPr>
              <w:widowControl/>
              <w:jc w:val="center"/>
              <w:rPr>
                <w:rFonts w:hint="eastAsia" w:ascii="微软雅黑" w:hAnsi="微软雅黑" w:eastAsia="微软雅黑" w:cs="宋体"/>
                <w:b/>
                <w:color w:val="000000"/>
                <w:kern w:val="0"/>
                <w:sz w:val="18"/>
                <w:szCs w:val="20"/>
              </w:rPr>
            </w:pPr>
            <w:r>
              <w:rPr>
                <w:rFonts w:hint="eastAsia" w:ascii="微软雅黑" w:hAnsi="微软雅黑" w:eastAsia="微软雅黑" w:cs="宋体"/>
                <w:b/>
                <w:color w:val="000000"/>
                <w:kern w:val="0"/>
                <w:sz w:val="18"/>
                <w:szCs w:val="20"/>
              </w:rPr>
              <w:t>疾病名称</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（三十六）丝虫病所致象皮肿</w:t>
            </w:r>
          </w:p>
        </w:tc>
        <w:tc>
          <w:tcPr>
            <w:tcW w:w="4374" w:type="dxa"/>
            <w:tcBorders>
              <w:top w:val="single" w:color="auto" w:sz="4" w:space="0"/>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（八十六）席汉氏综合征</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（三十七）特发性肺纤维化</w:t>
            </w:r>
          </w:p>
        </w:tc>
        <w:tc>
          <w:tcPr>
            <w:tcW w:w="4374" w:type="dxa"/>
            <w:tcBorders>
              <w:top w:val="single" w:color="auto" w:sz="4" w:space="0"/>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（八十七）弥漫性血管内凝血</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（三十八）克雅氏病（或称疯牛病）</w:t>
            </w:r>
          </w:p>
        </w:tc>
        <w:tc>
          <w:tcPr>
            <w:tcW w:w="4374" w:type="dxa"/>
            <w:tcBorders>
              <w:top w:val="single" w:color="auto" w:sz="4" w:space="0"/>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（八十八）血管性痴呆</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（三十九）破裂脑动脉瘤夹闭手术</w:t>
            </w:r>
          </w:p>
        </w:tc>
        <w:tc>
          <w:tcPr>
            <w:tcW w:w="4374" w:type="dxa"/>
            <w:tcBorders>
              <w:top w:val="single" w:color="auto" w:sz="4" w:space="0"/>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（八十九）额颞叶痴呆</w:t>
            </w:r>
          </w:p>
        </w:tc>
      </w:tr>
      <w:tr>
        <w:tblPrEx>
          <w:tblCellMar>
            <w:top w:w="0" w:type="dxa"/>
            <w:left w:w="108" w:type="dxa"/>
            <w:bottom w:w="0" w:type="dxa"/>
            <w:right w:w="108" w:type="dxa"/>
          </w:tblCellMar>
        </w:tblPrEx>
        <w:trPr>
          <w:trHeight w:val="35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（四十）经输血导致的HIV感染</w:t>
            </w:r>
          </w:p>
        </w:tc>
        <w:tc>
          <w:tcPr>
            <w:tcW w:w="4374" w:type="dxa"/>
            <w:tcBorders>
              <w:top w:val="single" w:color="auto" w:sz="4" w:space="0"/>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（九十）路易体痴呆</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（四十一）原发性硬化性胆管炎</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（九十一）脑型疟疾</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（四十二）特发性慢性肾上腺皮质功能减退</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（九十二）严重出血性登革热</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（四十三）严重类风湿性关节炎</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（九十三）头臂动脉型多发性大动脉炎旁路移植手术</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（四十四）重症急性坏死性筋膜炎</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（九十四）范可尼综合征</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（四十五）急性坏死性胰腺炎开腹手术</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（九十五）Ⅲ度房室传导阻滞</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（四十六）系统性硬皮病</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（九十六）库鲁病</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（四十七）慢性复发性胰腺炎</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（九十七）脊髓血管病后遗症</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（四十八）溶血性链球菌引起的坏疽</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（九十八）大面积植皮手术</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（四十九）因职业关系导致的HIV感染</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（九十九）急性肺损伤或急性呼吸窘迫综合征</w:t>
            </w:r>
          </w:p>
        </w:tc>
      </w:tr>
      <w:tr>
        <w:tblPrEx>
          <w:tblCellMar>
            <w:top w:w="0" w:type="dxa"/>
            <w:left w:w="108" w:type="dxa"/>
            <w:bottom w:w="0" w:type="dxa"/>
            <w:right w:w="108" w:type="dxa"/>
          </w:tblCellMar>
        </w:tblPrEx>
        <w:trPr>
          <w:trHeight w:val="357"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（五十）植物人状态</w:t>
            </w:r>
          </w:p>
        </w:tc>
        <w:tc>
          <w:tcPr>
            <w:tcW w:w="4374" w:type="dxa"/>
            <w:tcBorders>
              <w:top w:val="nil"/>
              <w:left w:val="nil"/>
              <w:bottom w:val="single" w:color="auto" w:sz="4" w:space="0"/>
              <w:right w:val="single" w:color="auto" w:sz="4" w:space="0"/>
            </w:tcBorders>
            <w:noWrap/>
            <w:vAlign w:val="center"/>
          </w:tcPr>
          <w:p>
            <w:pPr>
              <w:widowControl/>
              <w:rPr>
                <w:rFonts w:hint="eastAsia" w:ascii="微软雅黑" w:hAnsi="微软雅黑" w:eastAsia="微软雅黑" w:cs="宋体"/>
                <w:color w:val="000000"/>
                <w:kern w:val="0"/>
                <w:sz w:val="18"/>
                <w:szCs w:val="20"/>
              </w:rPr>
            </w:pPr>
            <w:r>
              <w:rPr>
                <w:rFonts w:hint="eastAsia" w:ascii="微软雅黑" w:hAnsi="微软雅黑" w:eastAsia="微软雅黑" w:cs="宋体"/>
                <w:color w:val="000000"/>
                <w:kern w:val="0"/>
                <w:sz w:val="18"/>
                <w:szCs w:val="20"/>
              </w:rPr>
              <w:t>（一百）溶血性尿毒综合征</w:t>
            </w:r>
          </w:p>
        </w:tc>
      </w:tr>
    </w:tbl>
    <w:p>
      <w:pPr>
        <w:spacing w:line="360" w:lineRule="auto"/>
        <w:rPr>
          <w:rFonts w:hint="eastAsia"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微软雅黑" w:hAnsi="微软雅黑" w:eastAsia="微软雅黑"/>
          <w:b/>
          <w:bCs/>
          <w:sz w:val="24"/>
          <w:szCs w:val="28"/>
        </w:rPr>
      </w:pPr>
      <w:r>
        <w:rPr>
          <w:rFonts w:hint="eastAsia" w:ascii="微软雅黑" w:hAnsi="微软雅黑" w:eastAsia="微软雅黑"/>
          <w:b/>
          <w:bCs/>
          <w:sz w:val="24"/>
          <w:szCs w:val="28"/>
        </w:rPr>
        <w:t>附表</w:t>
      </w:r>
      <w:r>
        <w:rPr>
          <w:rFonts w:ascii="微软雅黑" w:hAnsi="微软雅黑" w:eastAsia="微软雅黑"/>
          <w:b/>
          <w:bCs/>
          <w:sz w:val="24"/>
          <w:szCs w:val="28"/>
        </w:rPr>
        <w:t>2</w:t>
      </w:r>
      <w:r>
        <w:rPr>
          <w:rFonts w:hint="eastAsia" w:ascii="微软雅黑" w:hAnsi="微软雅黑" w:eastAsia="微软雅黑"/>
          <w:b/>
          <w:bCs/>
          <w:sz w:val="24"/>
          <w:szCs w:val="28"/>
        </w:rPr>
        <w:t>、</w:t>
      </w:r>
      <w:r>
        <w:rPr>
          <w:rFonts w:ascii="微软雅黑" w:hAnsi="微软雅黑" w:eastAsia="微软雅黑"/>
          <w:b/>
          <w:bCs/>
          <w:sz w:val="24"/>
          <w:szCs w:val="28"/>
        </w:rPr>
        <w:t>50</w:t>
      </w:r>
      <w:r>
        <w:rPr>
          <w:rFonts w:hint="eastAsia" w:ascii="微软雅黑" w:hAnsi="微软雅黑" w:eastAsia="微软雅黑"/>
          <w:b/>
          <w:bCs/>
          <w:sz w:val="24"/>
          <w:szCs w:val="28"/>
        </w:rPr>
        <w:t>种轻症疾病</w:t>
      </w:r>
    </w:p>
    <w:tbl>
      <w:tblPr>
        <w:tblStyle w:val="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96"/>
        <w:gridCol w:w="4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疾病名称</w:t>
            </w:r>
          </w:p>
        </w:tc>
        <w:tc>
          <w:tcPr>
            <w:tcW w:w="4509" w:type="dxa"/>
            <w:noWrap/>
            <w:vAlign w:val="center"/>
          </w:tcPr>
          <w:p>
            <w:pPr>
              <w:widowControl/>
              <w:jc w:val="center"/>
              <w:rPr>
                <w:rFonts w:hint="eastAsia"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疾病名称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tcBorders>
              <w:bottom w:val="single" w:color="auto" w:sz="4" w:space="0"/>
            </w:tcBorders>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（一）恶性肿瘤——轻度</w:t>
            </w:r>
          </w:p>
        </w:tc>
        <w:tc>
          <w:tcPr>
            <w:tcW w:w="4509" w:type="dxa"/>
            <w:tcBorders>
              <w:bottom w:val="single" w:color="auto" w:sz="4" w:space="0"/>
            </w:tcBorders>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（二十六）心脏起搏器植入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（二）较轻急性心肌梗死</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（二十七）中度阿尔茨海默病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（三）轻度脑中风后遗症</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（二十八）肌营养不良症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（四）心脏瓣膜介入手术</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（二十九）脊髓灰质炎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（五）主动脉内手术</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（三十）肝叶切除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（六）原位癌</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（三十一）非严重型再生障碍性贫血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（七）轻度脑损伤</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（三十二）单侧肺脏切除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（八）脑垂体瘤、脑囊肿、脑动脉瘤及脑血管瘤</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（三十三）轻度坏死性筋膜炎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（九）中度帕金森氏病</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（三十四）因肾上腺腺瘤所致的肾上腺切除术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（十）经皮冠状动脉介入手术（不开胸）</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（三十五）双侧睾丸切除术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（十一）慢性肾功能障碍</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（三十六）单侧肾脏切除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（十二）微创冠状动脉搭桥手术</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（三十七）双侧卵巢切除术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（十三）听力严重受损</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（三十八）早期系统性硬皮病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（十四）视力严重受损</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（三十九）早期肝硬化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（十五）较小面积III 度烧伤</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（四十）中度溃疡性结肠炎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（十六）心包膜切除术</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（四十一）系统性红斑狼疮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（十七）颈动脉血管成形术或内膜切除术</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（四十二）原发性肺动脉高压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（十八）轻度颅脑手术</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（四十三）单个肢体缺失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（十九）中度瘫痪</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（四十四）特定周围动脉疾病的血管介入治疗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（二十）早期运动神经元病</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（四十五）腔静脉过滤器植入术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（二十一）中度昏迷</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（四十六）角膜移植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（二十二）早期原发性心肌病</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（四十七）中度感染性心内膜炎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（二十三）轻度脑炎后遗症或脑膜炎后遗症</w:t>
            </w:r>
          </w:p>
        </w:tc>
        <w:tc>
          <w:tcPr>
            <w:tcW w:w="4509" w:type="dxa"/>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（四十八）早期象皮病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tcBorders>
              <w:bottom w:val="single" w:color="auto" w:sz="4" w:space="0"/>
            </w:tcBorders>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（二十四）结核性脊髓炎</w:t>
            </w:r>
          </w:p>
        </w:tc>
        <w:tc>
          <w:tcPr>
            <w:tcW w:w="4509" w:type="dxa"/>
            <w:tcBorders>
              <w:bottom w:val="single" w:color="auto" w:sz="4" w:space="0"/>
            </w:tcBorders>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（四十九）单目失明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b w:val="0"/>
                <w:bCs/>
                <w:color w:val="000000"/>
                <w:kern w:val="0"/>
                <w:sz w:val="18"/>
                <w:szCs w:val="18"/>
              </w:rPr>
            </w:pPr>
            <w:r>
              <w:rPr>
                <w:rFonts w:hint="eastAsia" w:ascii="微软雅黑" w:hAnsi="微软雅黑" w:eastAsia="微软雅黑" w:cs="宋体"/>
                <w:b w:val="0"/>
                <w:bCs/>
                <w:color w:val="000000"/>
                <w:kern w:val="0"/>
                <w:sz w:val="18"/>
                <w:szCs w:val="18"/>
              </w:rPr>
              <w:t>（二十五）植入大脑内分流器</w:t>
            </w:r>
          </w:p>
        </w:tc>
        <w:tc>
          <w:tcPr>
            <w:tcW w:w="45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（五十）单耳失聪</w:t>
            </w:r>
          </w:p>
        </w:tc>
      </w:tr>
    </w:tbl>
    <w:p>
      <w:pPr>
        <w:spacing w:line="360" w:lineRule="auto"/>
        <w:rPr>
          <w:rFonts w:hint="eastAsia" w:ascii="仿宋_GB2312" w:hAnsi="仿宋" w:eastAsia="仿宋_GB2312"/>
          <w:b/>
          <w:bCs/>
          <w:sz w:val="24"/>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仿宋_GB2312" w:hAnsi="仿宋" w:eastAsia="仿宋_GB2312"/>
          <w:bCs/>
          <w:sz w:val="28"/>
          <w:szCs w:val="28"/>
        </w:rPr>
      </w:pPr>
    </w:p>
    <w:p>
      <w:pPr>
        <w:spacing w:line="360" w:lineRule="auto"/>
        <w:rPr>
          <w:rFonts w:ascii="微软雅黑" w:hAnsi="微软雅黑" w:eastAsia="微软雅黑"/>
          <w:b/>
          <w:bCs/>
          <w:sz w:val="24"/>
          <w:szCs w:val="28"/>
        </w:rPr>
      </w:pPr>
      <w:r>
        <w:rPr>
          <w:rFonts w:hint="eastAsia" w:ascii="微软雅黑" w:hAnsi="微软雅黑" w:eastAsia="微软雅黑"/>
          <w:b/>
          <w:bCs/>
          <w:sz w:val="24"/>
          <w:szCs w:val="28"/>
        </w:rPr>
        <w:t>附表3、37种靶向药目录</w:t>
      </w:r>
    </w:p>
    <w:tbl>
      <w:tblPr>
        <w:tblStyle w:val="4"/>
        <w:tblpPr w:leftFromText="180" w:rightFromText="180" w:vertAnchor="text" w:horzAnchor="page" w:tblpX="285" w:tblpY="653"/>
        <w:tblOverlap w:val="never"/>
        <w:tblW w:w="11206" w:type="dxa"/>
        <w:tblInd w:w="0" w:type="dxa"/>
        <w:tblLayout w:type="autofit"/>
        <w:tblCellMar>
          <w:top w:w="0" w:type="dxa"/>
          <w:left w:w="108" w:type="dxa"/>
          <w:bottom w:w="0" w:type="dxa"/>
          <w:right w:w="108" w:type="dxa"/>
        </w:tblCellMar>
      </w:tblPr>
      <w:tblGrid>
        <w:gridCol w:w="687"/>
        <w:gridCol w:w="2608"/>
        <w:gridCol w:w="961"/>
        <w:gridCol w:w="1363"/>
        <w:gridCol w:w="842"/>
        <w:gridCol w:w="2084"/>
        <w:gridCol w:w="980"/>
        <w:gridCol w:w="1681"/>
      </w:tblGrid>
      <w:tr>
        <w:tblPrEx>
          <w:tblCellMar>
            <w:top w:w="0" w:type="dxa"/>
            <w:left w:w="108" w:type="dxa"/>
            <w:bottom w:w="0" w:type="dxa"/>
            <w:right w:w="108" w:type="dxa"/>
          </w:tblCellMar>
        </w:tblPrEx>
        <w:trPr>
          <w:trHeight w:val="771"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b/>
                <w:bCs/>
                <w:color w:val="000000"/>
                <w:sz w:val="18"/>
                <w:szCs w:val="18"/>
              </w:rPr>
            </w:pPr>
            <w:r>
              <w:rPr>
                <w:rFonts w:hint="eastAsia" w:ascii="微软雅黑" w:hAnsi="微软雅黑" w:eastAsia="微软雅黑"/>
                <w:b/>
                <w:bCs/>
                <w:color w:val="000000"/>
                <w:sz w:val="18"/>
                <w:szCs w:val="18"/>
              </w:rPr>
              <w:t>序号</w:t>
            </w:r>
          </w:p>
        </w:tc>
        <w:tc>
          <w:tcPr>
            <w:tcW w:w="2608"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b/>
                <w:bCs/>
                <w:color w:val="000000"/>
                <w:sz w:val="18"/>
                <w:szCs w:val="18"/>
              </w:rPr>
            </w:pPr>
            <w:r>
              <w:rPr>
                <w:rFonts w:hint="eastAsia" w:ascii="微软雅黑" w:hAnsi="微软雅黑" w:eastAsia="微软雅黑"/>
                <w:b/>
                <w:bCs/>
                <w:color w:val="000000"/>
                <w:sz w:val="18"/>
                <w:szCs w:val="18"/>
              </w:rPr>
              <w:t>靶向药名称</w:t>
            </w:r>
          </w:p>
        </w:tc>
        <w:tc>
          <w:tcPr>
            <w:tcW w:w="961"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b/>
                <w:bCs/>
                <w:color w:val="000000"/>
                <w:sz w:val="18"/>
                <w:szCs w:val="18"/>
              </w:rPr>
            </w:pPr>
            <w:r>
              <w:rPr>
                <w:rFonts w:hint="eastAsia" w:ascii="微软雅黑" w:hAnsi="微软雅黑" w:eastAsia="微软雅黑"/>
                <w:b/>
                <w:bCs/>
                <w:color w:val="000000"/>
                <w:sz w:val="18"/>
                <w:szCs w:val="18"/>
              </w:rPr>
              <w:t>商品名</w:t>
            </w:r>
          </w:p>
        </w:tc>
        <w:tc>
          <w:tcPr>
            <w:tcW w:w="1363"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b/>
                <w:bCs/>
                <w:color w:val="000000"/>
                <w:sz w:val="18"/>
                <w:szCs w:val="18"/>
              </w:rPr>
            </w:pPr>
            <w:r>
              <w:rPr>
                <w:rFonts w:hint="eastAsia" w:ascii="微软雅黑" w:hAnsi="微软雅黑" w:eastAsia="微软雅黑"/>
                <w:b/>
                <w:bCs/>
                <w:color w:val="000000"/>
                <w:sz w:val="18"/>
                <w:szCs w:val="18"/>
              </w:rPr>
              <w:t>药品适应症</w:t>
            </w:r>
          </w:p>
        </w:tc>
        <w:tc>
          <w:tcPr>
            <w:tcW w:w="842"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b/>
                <w:bCs/>
                <w:color w:val="000000"/>
                <w:sz w:val="18"/>
                <w:szCs w:val="18"/>
              </w:rPr>
            </w:pPr>
            <w:r>
              <w:rPr>
                <w:rFonts w:hint="eastAsia" w:ascii="微软雅黑" w:hAnsi="微软雅黑" w:eastAsia="微软雅黑"/>
                <w:b/>
                <w:bCs/>
                <w:color w:val="000000"/>
                <w:sz w:val="18"/>
                <w:szCs w:val="18"/>
              </w:rPr>
              <w:t>序号</w:t>
            </w:r>
          </w:p>
        </w:tc>
        <w:tc>
          <w:tcPr>
            <w:tcW w:w="2084"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b/>
                <w:bCs/>
                <w:color w:val="000000"/>
                <w:sz w:val="18"/>
                <w:szCs w:val="18"/>
              </w:rPr>
            </w:pPr>
            <w:r>
              <w:rPr>
                <w:rFonts w:hint="eastAsia" w:ascii="微软雅黑" w:hAnsi="微软雅黑" w:eastAsia="微软雅黑"/>
                <w:b/>
                <w:bCs/>
                <w:color w:val="000000"/>
                <w:sz w:val="18"/>
                <w:szCs w:val="18"/>
              </w:rPr>
              <w:t>靶向药名称</w:t>
            </w:r>
          </w:p>
        </w:tc>
        <w:tc>
          <w:tcPr>
            <w:tcW w:w="980"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b/>
                <w:bCs/>
                <w:color w:val="000000"/>
                <w:sz w:val="18"/>
                <w:szCs w:val="18"/>
              </w:rPr>
            </w:pPr>
            <w:r>
              <w:rPr>
                <w:rFonts w:hint="eastAsia" w:ascii="微软雅黑" w:hAnsi="微软雅黑" w:eastAsia="微软雅黑"/>
                <w:b/>
                <w:bCs/>
                <w:color w:val="000000"/>
                <w:sz w:val="18"/>
                <w:szCs w:val="18"/>
              </w:rPr>
              <w:t>商品名</w:t>
            </w:r>
          </w:p>
        </w:tc>
        <w:tc>
          <w:tcPr>
            <w:tcW w:w="1681"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b/>
                <w:bCs/>
                <w:color w:val="000000"/>
                <w:sz w:val="18"/>
                <w:szCs w:val="18"/>
              </w:rPr>
            </w:pPr>
            <w:r>
              <w:rPr>
                <w:rFonts w:hint="eastAsia" w:ascii="微软雅黑" w:hAnsi="微软雅黑" w:eastAsia="微软雅黑"/>
                <w:b/>
                <w:bCs/>
                <w:color w:val="000000"/>
                <w:sz w:val="18"/>
                <w:szCs w:val="18"/>
              </w:rPr>
              <w:t>药品适应症</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1</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达沙替尼片</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依尼舒</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白血病</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20</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盐酸埃克替尼片</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凯美纳</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肺癌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2</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达沙替尼片</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施达赛</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白血病</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21</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盐酸安罗替尼胶囊</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福可维</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肺癌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3</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尼洛替尼胶囊</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达希纳</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白血病</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22</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盐酸厄洛替尼片</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特罗凯</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肺癌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4</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伊布替尼胶囊</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亿珂</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白血病、淋巴瘤</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23</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重组人血管内皮抑制素注射液</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恩度</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肺癌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5</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甲磺酸伊马替尼片/胶囊</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格尼可</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白血病、胃肠间质瘤</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24</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维莫非尼片</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佐博伏</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黑色素瘤</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6</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甲磺酸伊马替尼片/胶囊</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格列卫</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白血病、胃肠间质瘤</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25</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西妥昔单抗注射液</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爱必妥</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结直肠癌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7</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甲磺酸伊马替尼片/胶囊</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昕维</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白血病、胃肠间质瘤</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26</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贝伐珠单抗注射液</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安维汀</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结直肠癌、肺癌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8</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甲磺酸伊马替尼片/胶囊</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诺利宁</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白血病、胃肠间质瘤</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27</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瑞戈非尼片</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拜万戈</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结直肠癌、肝癌、胃肠间质瘤</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9</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尼妥珠单抗注射液</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泰欣生</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鼻咽癌</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28</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利妥昔单抗注射液</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美罗华</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淋巴瘤</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10</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枸橼酸伊沙佐米胶囊</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恩莱瑞</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多发性骨髓瘤</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29</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醋酸阿比特龙片</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泽珂</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前列腺癌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11</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注射用硼替佐米</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万珂</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多发性骨髓瘤、淋巴瘤</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30</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甲苯磺酸拉帕替尼片</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泰立沙</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乳腺癌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12</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注射用硼替佐米</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昕泰</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多发性骨髓瘤、淋巴瘤</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31</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注射用曲妥珠单抗</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赫赛汀</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乳腺癌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13</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注射用硼替佐米</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齐普乐</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多发性骨髓瘤、淋巴瘤</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32</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阿昔替尼片</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英立达</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肾癌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14</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吉非替尼片</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易瑞沙</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肺癌</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33</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培唑帕尼片</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维全特</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肾癌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15</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吉非替尼片</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伊瑞可</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肺癌</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34</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甲苯磺酸索拉非尼片</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多吉美</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肾癌、肝癌、甲状腺癌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16</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甲磺酸奥希替尼片</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泰瑞沙</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肺癌</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35</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依维莫司片</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飞尼妥</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肾癌、脑和神经系统恶性肿瘤</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17</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克唑替尼胶囊</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赛可瑞</w:t>
            </w:r>
          </w:p>
        </w:tc>
        <w:tc>
          <w:tcPr>
            <w:tcW w:w="1363"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肺癌</w:t>
            </w:r>
          </w:p>
        </w:tc>
        <w:tc>
          <w:tcPr>
            <w:tcW w:w="842"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36</w:t>
            </w:r>
          </w:p>
        </w:tc>
        <w:tc>
          <w:tcPr>
            <w:tcW w:w="2084"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甲磺酸阿帕替尼片</w:t>
            </w:r>
          </w:p>
        </w:tc>
        <w:tc>
          <w:tcPr>
            <w:tcW w:w="980"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艾坦</w:t>
            </w:r>
          </w:p>
        </w:tc>
        <w:tc>
          <w:tcPr>
            <w:tcW w:w="168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胃癌</w:t>
            </w:r>
          </w:p>
        </w:tc>
      </w:tr>
      <w:tr>
        <w:tblPrEx>
          <w:tblCellMar>
            <w:top w:w="0" w:type="dxa"/>
            <w:left w:w="108" w:type="dxa"/>
            <w:bottom w:w="0" w:type="dxa"/>
            <w:right w:w="108" w:type="dxa"/>
          </w:tblCellMar>
        </w:tblPrEx>
        <w:trPr>
          <w:trHeight w:val="455"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18</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马来酸阿法替尼片</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吉泰瑞</w:t>
            </w:r>
          </w:p>
        </w:tc>
        <w:tc>
          <w:tcPr>
            <w:tcW w:w="1363"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肺癌</w:t>
            </w:r>
          </w:p>
        </w:tc>
        <w:tc>
          <w:tcPr>
            <w:tcW w:w="842"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37</w:t>
            </w:r>
          </w:p>
        </w:tc>
        <w:tc>
          <w:tcPr>
            <w:tcW w:w="2084"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苹果酸舒尼替尼胶囊</w:t>
            </w:r>
          </w:p>
        </w:tc>
        <w:tc>
          <w:tcPr>
            <w:tcW w:w="980"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索坦</w:t>
            </w:r>
          </w:p>
        </w:tc>
        <w:tc>
          <w:tcPr>
            <w:tcW w:w="1681"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胃肠间质瘤、肾癌、胰腺癌</w:t>
            </w:r>
          </w:p>
        </w:tc>
      </w:tr>
      <w:tr>
        <w:tblPrEx>
          <w:tblCellMar>
            <w:top w:w="0" w:type="dxa"/>
            <w:left w:w="108" w:type="dxa"/>
            <w:bottom w:w="0" w:type="dxa"/>
            <w:right w:w="108" w:type="dxa"/>
          </w:tblCellMar>
        </w:tblPrEx>
        <w:trPr>
          <w:trHeight w:val="762" w:hRule="atLeast"/>
        </w:trPr>
        <w:tc>
          <w:tcPr>
            <w:tcW w:w="687" w:type="dxa"/>
            <w:tcBorders>
              <w:top w:val="nil"/>
              <w:left w:val="single" w:color="auto" w:sz="4" w:space="0"/>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19</w:t>
            </w:r>
          </w:p>
        </w:tc>
        <w:tc>
          <w:tcPr>
            <w:tcW w:w="2608"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塞瑞替尼胶囊</w:t>
            </w:r>
          </w:p>
        </w:tc>
        <w:tc>
          <w:tcPr>
            <w:tcW w:w="961" w:type="dxa"/>
            <w:tcBorders>
              <w:top w:val="nil"/>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赞可达</w:t>
            </w:r>
          </w:p>
        </w:tc>
        <w:tc>
          <w:tcPr>
            <w:tcW w:w="1363"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肺癌</w:t>
            </w:r>
          </w:p>
        </w:tc>
        <w:tc>
          <w:tcPr>
            <w:tcW w:w="842" w:type="dxa"/>
            <w:tcBorders>
              <w:top w:val="single" w:color="auto" w:sz="4" w:space="0"/>
              <w:left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w:t>
            </w:r>
          </w:p>
        </w:tc>
        <w:tc>
          <w:tcPr>
            <w:tcW w:w="2084" w:type="dxa"/>
            <w:tcBorders>
              <w:top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w:t>
            </w:r>
          </w:p>
        </w:tc>
        <w:tc>
          <w:tcPr>
            <w:tcW w:w="980" w:type="dxa"/>
            <w:tcBorders>
              <w:top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w:t>
            </w:r>
          </w:p>
        </w:tc>
        <w:tc>
          <w:tcPr>
            <w:tcW w:w="1681" w:type="dxa"/>
            <w:tcBorders>
              <w:top w:val="single" w:color="auto" w:sz="4" w:space="0"/>
            </w:tcBorders>
            <w:noWrap w:val="0"/>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w:t>
            </w:r>
          </w:p>
        </w:tc>
      </w:tr>
    </w:tbl>
    <w:p>
      <w:pPr>
        <w:tabs>
          <w:tab w:val="left" w:pos="2727"/>
        </w:tabs>
        <w:spacing w:line="380" w:lineRule="exact"/>
        <w:jc w:val="center"/>
        <w:rPr>
          <w:rFonts w:hint="eastAsia" w:ascii="仿宋_GB2312" w:hAnsi="仿宋" w:eastAsia="仿宋_GB2312"/>
          <w:b/>
          <w:bCs/>
          <w:sz w:val="36"/>
          <w:szCs w:val="36"/>
        </w:rPr>
      </w:pPr>
    </w:p>
    <w:tbl>
      <w:tblPr>
        <w:tblStyle w:val="4"/>
        <w:tblW w:w="99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8048"/>
        <w:gridCol w:w="30"/>
        <w:gridCol w:w="1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9924" w:type="dxa"/>
            <w:gridSpan w:val="4"/>
            <w:tcBorders>
              <w:top w:val="nil"/>
              <w:left w:val="nil"/>
              <w:bottom w:val="single" w:color="auto" w:sz="6" w:space="0"/>
              <w:right w:val="nil"/>
            </w:tcBorders>
            <w:vAlign w:val="center"/>
          </w:tcPr>
          <w:p>
            <w:pPr>
              <w:tabs>
                <w:tab w:val="left" w:pos="2727"/>
              </w:tabs>
              <w:spacing w:line="380" w:lineRule="exact"/>
              <w:jc w:val="center"/>
              <w:rPr>
                <w:rFonts w:hint="eastAsia" w:ascii="仿宋_GB2312" w:hAnsi="仿宋" w:eastAsia="仿宋_GB2312"/>
                <w:b/>
                <w:bCs/>
                <w:sz w:val="36"/>
                <w:szCs w:val="36"/>
              </w:rPr>
            </w:pPr>
          </w:p>
          <w:p>
            <w:pPr>
              <w:tabs>
                <w:tab w:val="left" w:pos="2727"/>
              </w:tabs>
              <w:spacing w:line="380" w:lineRule="exact"/>
              <w:jc w:val="center"/>
              <w:rPr>
                <w:rFonts w:ascii="仿宋_GB2312" w:hAnsi="仿宋" w:eastAsia="仿宋_GB2312"/>
                <w:sz w:val="21"/>
                <w:szCs w:val="21"/>
              </w:rPr>
            </w:pPr>
            <w:bookmarkStart w:id="0" w:name="_GoBack"/>
            <w:bookmarkEnd w:id="0"/>
            <w:r>
              <w:rPr>
                <w:rFonts w:hint="eastAsia" w:ascii="仿宋_GB2312" w:hAnsi="仿宋" w:eastAsia="仿宋_GB2312"/>
                <w:b/>
                <w:bCs/>
                <w:sz w:val="36"/>
                <w:szCs w:val="36"/>
              </w:rPr>
              <w:t>宁德港务集团员工补充医疗团体健康险项目评分表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1" w:hRule="atLeast"/>
          <w:jc w:val="center"/>
        </w:trPr>
        <w:tc>
          <w:tcPr>
            <w:tcW w:w="754" w:type="dxa"/>
            <w:tcBorders>
              <w:top w:val="single" w:color="auto" w:sz="12" w:space="0"/>
              <w:left w:val="single" w:color="auto" w:sz="12" w:space="0"/>
              <w:bottom w:val="single" w:color="auto" w:sz="6" w:space="0"/>
              <w:right w:val="single" w:color="auto" w:sz="12" w:space="0"/>
            </w:tcBorders>
            <w:vAlign w:val="center"/>
          </w:tcPr>
          <w:p>
            <w:pPr>
              <w:spacing w:line="380" w:lineRule="exact"/>
              <w:jc w:val="center"/>
              <w:rPr>
                <w:rFonts w:ascii="仿宋_GB2312" w:hAnsi="仿宋" w:eastAsia="仿宋_GB2312"/>
                <w:sz w:val="21"/>
                <w:szCs w:val="21"/>
              </w:rPr>
            </w:pPr>
          </w:p>
        </w:tc>
        <w:tc>
          <w:tcPr>
            <w:tcW w:w="9170" w:type="dxa"/>
            <w:gridSpan w:val="3"/>
            <w:tcBorders>
              <w:top w:val="single" w:color="auto" w:sz="12" w:space="0"/>
              <w:left w:val="single" w:color="auto" w:sz="12" w:space="0"/>
              <w:bottom w:val="single" w:color="auto" w:sz="6" w:space="0"/>
              <w:right w:val="single" w:color="auto" w:sz="12" w:space="0"/>
            </w:tcBorders>
            <w:vAlign w:val="center"/>
          </w:tcPr>
          <w:p>
            <w:pPr>
              <w:spacing w:line="380" w:lineRule="exact"/>
              <w:jc w:val="center"/>
              <w:rPr>
                <w:rFonts w:ascii="仿宋_GB2312" w:hAnsi="仿宋" w:eastAsia="仿宋_GB2312" w:cs="宋体"/>
                <w:bCs/>
                <w:sz w:val="21"/>
                <w:szCs w:val="21"/>
              </w:rPr>
            </w:pPr>
            <w:r>
              <w:rPr>
                <w:rFonts w:hint="eastAsia" w:ascii="仿宋_GB2312" w:hAnsi="仿宋" w:eastAsia="仿宋_GB2312"/>
                <w:sz w:val="21"/>
                <w:szCs w:val="21"/>
              </w:rPr>
              <w:t>1、报价部分（满分30分）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1" w:hRule="atLeast"/>
          <w:jc w:val="center"/>
        </w:trPr>
        <w:tc>
          <w:tcPr>
            <w:tcW w:w="754" w:type="dxa"/>
            <w:tcBorders>
              <w:top w:val="single" w:color="auto" w:sz="12" w:space="0"/>
              <w:left w:val="single" w:color="auto" w:sz="12" w:space="0"/>
              <w:bottom w:val="single" w:color="auto" w:sz="6" w:space="0"/>
              <w:right w:val="single" w:color="auto" w:sz="6" w:space="0"/>
            </w:tcBorders>
            <w:vAlign w:val="center"/>
          </w:tcPr>
          <w:p>
            <w:pPr>
              <w:spacing w:line="380" w:lineRule="exact"/>
              <w:jc w:val="center"/>
              <w:rPr>
                <w:rFonts w:ascii="仿宋_GB2312" w:hAnsi="仿宋" w:eastAsia="仿宋_GB2312" w:cs="宋体"/>
                <w:b/>
                <w:sz w:val="21"/>
                <w:szCs w:val="21"/>
              </w:rPr>
            </w:pPr>
            <w:r>
              <w:rPr>
                <w:rFonts w:hint="eastAsia" w:ascii="仿宋_GB2312" w:hAnsi="仿宋" w:eastAsia="仿宋_GB2312" w:cs="宋体"/>
                <w:b/>
                <w:sz w:val="21"/>
                <w:szCs w:val="21"/>
              </w:rPr>
              <w:t>序号</w:t>
            </w:r>
          </w:p>
        </w:tc>
        <w:tc>
          <w:tcPr>
            <w:tcW w:w="8078" w:type="dxa"/>
            <w:gridSpan w:val="2"/>
            <w:tcBorders>
              <w:top w:val="single" w:color="auto" w:sz="12" w:space="0"/>
              <w:left w:val="single" w:color="auto" w:sz="6" w:space="0"/>
              <w:bottom w:val="single" w:color="auto" w:sz="6" w:space="0"/>
              <w:right w:val="single" w:color="auto" w:sz="6" w:space="0"/>
            </w:tcBorders>
            <w:vAlign w:val="center"/>
          </w:tcPr>
          <w:p>
            <w:pPr>
              <w:spacing w:line="380" w:lineRule="exact"/>
              <w:jc w:val="center"/>
              <w:rPr>
                <w:rFonts w:ascii="仿宋_GB2312" w:hAnsi="仿宋" w:eastAsia="仿宋_GB2312" w:cs="宋体"/>
                <w:b/>
                <w:sz w:val="21"/>
                <w:szCs w:val="21"/>
              </w:rPr>
            </w:pPr>
            <w:r>
              <w:rPr>
                <w:rFonts w:hint="eastAsia" w:ascii="仿宋_GB2312" w:hAnsi="仿宋" w:eastAsia="仿宋_GB2312" w:cs="宋体"/>
                <w:b/>
                <w:sz w:val="21"/>
                <w:szCs w:val="21"/>
              </w:rPr>
              <w:t>评分界定</w:t>
            </w:r>
          </w:p>
        </w:tc>
        <w:tc>
          <w:tcPr>
            <w:tcW w:w="1092" w:type="dxa"/>
            <w:tcBorders>
              <w:top w:val="single" w:color="auto" w:sz="12"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b/>
                <w:sz w:val="21"/>
                <w:szCs w:val="21"/>
              </w:rPr>
            </w:pPr>
            <w:r>
              <w:rPr>
                <w:rFonts w:hint="eastAsia" w:ascii="仿宋_GB2312" w:hAnsi="仿宋" w:eastAsia="仿宋_GB2312" w:cs="宋体"/>
                <w:b/>
                <w:sz w:val="21"/>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2" w:hRule="atLeast"/>
          <w:jc w:val="center"/>
        </w:trPr>
        <w:tc>
          <w:tcPr>
            <w:tcW w:w="8832" w:type="dxa"/>
            <w:gridSpan w:val="3"/>
            <w:tcBorders>
              <w:top w:val="single" w:color="auto" w:sz="6" w:space="0"/>
              <w:left w:val="single" w:color="auto" w:sz="12" w:space="0"/>
              <w:bottom w:val="single" w:color="auto" w:sz="6" w:space="0"/>
              <w:right w:val="single" w:color="auto" w:sz="6" w:space="0"/>
            </w:tcBorders>
            <w:vAlign w:val="center"/>
          </w:tcPr>
          <w:p>
            <w:pPr>
              <w:widowControl/>
              <w:spacing w:line="380" w:lineRule="exact"/>
              <w:ind w:firstLine="422" w:firstLineChars="200"/>
              <w:rPr>
                <w:rFonts w:ascii="仿宋_GB2312" w:hAnsi="仿宋" w:eastAsia="仿宋_GB2312" w:cs="宋体"/>
                <w:b/>
                <w:sz w:val="21"/>
                <w:szCs w:val="21"/>
              </w:rPr>
            </w:pPr>
            <w:r>
              <w:rPr>
                <w:rFonts w:hint="eastAsia" w:ascii="仿宋_GB2312" w:hAnsi="仿宋" w:eastAsia="仿宋_GB2312" w:cs="宋体"/>
                <w:b/>
                <w:sz w:val="21"/>
                <w:szCs w:val="21"/>
              </w:rPr>
              <w:t>针对“保险费”项目：</w:t>
            </w:r>
          </w:p>
          <w:p>
            <w:pPr>
              <w:widowControl/>
              <w:spacing w:line="380" w:lineRule="exact"/>
              <w:ind w:firstLine="420" w:firstLineChars="200"/>
              <w:rPr>
                <w:rFonts w:ascii="仿宋_GB2312" w:hAnsi="仿宋" w:eastAsia="仿宋_GB2312" w:cs="宋体"/>
                <w:sz w:val="21"/>
                <w:szCs w:val="21"/>
              </w:rPr>
            </w:pPr>
            <w:r>
              <w:rPr>
                <w:rFonts w:hint="eastAsia" w:ascii="仿宋_GB2312" w:hAnsi="仿宋" w:eastAsia="仿宋_GB2312" w:cs="宋体"/>
                <w:sz w:val="21"/>
                <w:szCs w:val="21"/>
              </w:rPr>
              <w:t>计算规则以各比选申请人的有效总报价的算术平均值为评标基准价，以评标基准价同各比选 申请人的报价差距大小进行排序，差距越小得分越高，差距最小的为最高分（30分），并按顺序依次扣减5分。同时，如差距为正差距，则再扣减5分，为负差距，则再增加5分。计算规则如下所示:</w:t>
            </w:r>
          </w:p>
          <w:p>
            <w:pPr>
              <w:widowControl/>
              <w:spacing w:line="380" w:lineRule="exact"/>
              <w:ind w:firstLine="420" w:firstLineChars="200"/>
              <w:rPr>
                <w:rFonts w:ascii="仿宋_GB2312" w:hAnsi="仿宋" w:eastAsia="仿宋_GB2312" w:cs="宋体"/>
                <w:sz w:val="21"/>
                <w:szCs w:val="21"/>
              </w:rPr>
            </w:pPr>
            <w:r>
              <w:rPr>
                <w:rFonts w:hint="eastAsia" w:ascii="仿宋_GB2312" w:hAnsi="仿宋" w:eastAsia="仿宋_GB2312" w:cs="宋体"/>
                <w:sz w:val="21"/>
                <w:szCs w:val="21"/>
              </w:rPr>
              <w:t>A=</w:t>
            </w:r>
            <w:r>
              <w:rPr>
                <w:rFonts w:hint="eastAsia" w:ascii="微软雅黑" w:hAnsi="微软雅黑" w:eastAsia="微软雅黑" w:cs="微软雅黑"/>
                <w:sz w:val="21"/>
                <w:szCs w:val="21"/>
              </w:rPr>
              <w:t>︱</w:t>
            </w:r>
            <w:r>
              <w:rPr>
                <w:rFonts w:hint="eastAsia" w:ascii="仿宋_GB2312" w:hAnsi="仿宋" w:eastAsia="仿宋_GB2312" w:cs="宋体"/>
                <w:sz w:val="21"/>
                <w:szCs w:val="21"/>
              </w:rPr>
              <w:t>Hn-H</w:t>
            </w:r>
            <w:r>
              <w:rPr>
                <w:rFonts w:hint="eastAsia" w:ascii="微软雅黑" w:hAnsi="微软雅黑" w:eastAsia="微软雅黑" w:cs="微软雅黑"/>
                <w:sz w:val="21"/>
                <w:szCs w:val="21"/>
              </w:rPr>
              <w:t>︱</w:t>
            </w:r>
          </w:p>
          <w:p>
            <w:pPr>
              <w:widowControl/>
              <w:spacing w:line="380" w:lineRule="exact"/>
              <w:ind w:firstLine="420" w:firstLineChars="200"/>
              <w:rPr>
                <w:rFonts w:ascii="仿宋_GB2312" w:hAnsi="仿宋" w:eastAsia="仿宋_GB2312" w:cs="宋体"/>
                <w:sz w:val="21"/>
                <w:szCs w:val="21"/>
              </w:rPr>
            </w:pPr>
            <w:r>
              <w:rPr>
                <w:rFonts w:hint="eastAsia" w:ascii="仿宋_GB2312" w:hAnsi="仿宋" w:eastAsia="仿宋_GB2312" w:cs="宋体"/>
                <w:sz w:val="21"/>
                <w:szCs w:val="21"/>
              </w:rPr>
              <w:t>当H &gt;Hn时，在排序分值上再扣减5分；</w:t>
            </w:r>
          </w:p>
          <w:p>
            <w:pPr>
              <w:widowControl/>
              <w:spacing w:line="380" w:lineRule="exact"/>
              <w:ind w:firstLine="420" w:firstLineChars="200"/>
              <w:rPr>
                <w:rFonts w:ascii="仿宋_GB2312" w:hAnsi="仿宋" w:eastAsia="仿宋_GB2312" w:cs="宋体"/>
                <w:sz w:val="21"/>
                <w:szCs w:val="21"/>
              </w:rPr>
            </w:pPr>
            <w:r>
              <w:rPr>
                <w:rFonts w:hint="eastAsia" w:ascii="仿宋_GB2312" w:hAnsi="仿宋" w:eastAsia="仿宋_GB2312" w:cs="宋体"/>
                <w:sz w:val="21"/>
                <w:szCs w:val="21"/>
              </w:rPr>
              <w:t>当H &lt;Hn时，在排序分值上再增加5分；</w:t>
            </w:r>
          </w:p>
          <w:p>
            <w:pPr>
              <w:widowControl/>
              <w:spacing w:line="380" w:lineRule="exact"/>
              <w:ind w:firstLine="420" w:firstLineChars="200"/>
              <w:rPr>
                <w:rFonts w:ascii="仿宋_GB2312" w:hAnsi="仿宋" w:eastAsia="仿宋_GB2312" w:cs="宋体"/>
                <w:sz w:val="21"/>
                <w:szCs w:val="21"/>
              </w:rPr>
            </w:pPr>
            <w:r>
              <w:rPr>
                <w:rFonts w:hint="eastAsia" w:ascii="仿宋_GB2312" w:hAnsi="仿宋" w:eastAsia="仿宋_GB2312" w:cs="宋体"/>
                <w:sz w:val="21"/>
                <w:szCs w:val="21"/>
              </w:rPr>
              <w:t>A：各比选申请人报价同所有投标单位报价的算术平均值的差距，将A值由小到大进行排名，即可知各比选申请人的排序分值。</w:t>
            </w:r>
          </w:p>
          <w:p>
            <w:pPr>
              <w:widowControl/>
              <w:spacing w:line="380" w:lineRule="exact"/>
              <w:ind w:firstLine="420" w:firstLineChars="200"/>
              <w:rPr>
                <w:rFonts w:ascii="仿宋_GB2312" w:hAnsi="仿宋" w:eastAsia="仿宋_GB2312" w:cs="宋体"/>
                <w:sz w:val="21"/>
                <w:szCs w:val="21"/>
              </w:rPr>
            </w:pPr>
            <w:r>
              <w:rPr>
                <w:rFonts w:hint="eastAsia" w:ascii="仿宋_GB2312" w:hAnsi="仿宋" w:eastAsia="仿宋_GB2312" w:cs="宋体"/>
                <w:sz w:val="21"/>
                <w:szCs w:val="21"/>
              </w:rPr>
              <w:t>H：各比选申请人报价即有效投标报价。</w:t>
            </w:r>
          </w:p>
          <w:p>
            <w:pPr>
              <w:widowControl/>
              <w:spacing w:line="380" w:lineRule="exact"/>
              <w:ind w:firstLine="420" w:firstLineChars="200"/>
              <w:rPr>
                <w:rFonts w:ascii="仿宋_GB2312" w:hAnsi="仿宋" w:eastAsia="仿宋_GB2312" w:cs="宋体"/>
                <w:sz w:val="21"/>
                <w:szCs w:val="21"/>
              </w:rPr>
            </w:pPr>
            <w:r>
              <w:rPr>
                <w:rFonts w:hint="eastAsia" w:ascii="仿宋_GB2312" w:hAnsi="仿宋" w:eastAsia="仿宋_GB2312" w:cs="宋体"/>
                <w:sz w:val="21"/>
                <w:szCs w:val="21"/>
              </w:rPr>
              <w:t>Hn:评标基准价即审查合格的有效所有比选申请人的总报价的算术平均值。</w:t>
            </w:r>
          </w:p>
        </w:tc>
        <w:tc>
          <w:tcPr>
            <w:tcW w:w="1092" w:type="dxa"/>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sz w:val="21"/>
                <w:szCs w:val="21"/>
              </w:rPr>
            </w:pPr>
            <w:r>
              <w:rPr>
                <w:rFonts w:hint="eastAsia" w:ascii="仿宋_GB2312" w:hAnsi="仿宋" w:eastAsia="仿宋_GB2312" w:cs="宋体"/>
                <w:b/>
                <w:sz w:val="21"/>
                <w:szCs w:val="21"/>
              </w:rPr>
              <w:t>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5" w:hRule="atLeast"/>
          <w:jc w:val="center"/>
        </w:trPr>
        <w:tc>
          <w:tcPr>
            <w:tcW w:w="754" w:type="dxa"/>
            <w:tcBorders>
              <w:top w:val="single" w:color="auto" w:sz="6" w:space="0"/>
              <w:left w:val="single" w:color="auto" w:sz="12" w:space="0"/>
              <w:bottom w:val="single" w:color="auto" w:sz="4" w:space="0"/>
              <w:right w:val="single" w:color="auto" w:sz="12" w:space="0"/>
            </w:tcBorders>
            <w:vAlign w:val="center"/>
          </w:tcPr>
          <w:p>
            <w:pPr>
              <w:spacing w:line="380" w:lineRule="exact"/>
              <w:jc w:val="center"/>
              <w:rPr>
                <w:rFonts w:ascii="仿宋_GB2312" w:hAnsi="仿宋" w:eastAsia="仿宋_GB2312" w:cs="Arial"/>
                <w:bCs/>
                <w:sz w:val="21"/>
                <w:szCs w:val="21"/>
              </w:rPr>
            </w:pPr>
          </w:p>
        </w:tc>
        <w:tc>
          <w:tcPr>
            <w:tcW w:w="9170" w:type="dxa"/>
            <w:gridSpan w:val="3"/>
            <w:tcBorders>
              <w:top w:val="single" w:color="auto" w:sz="6" w:space="0"/>
              <w:left w:val="single" w:color="auto" w:sz="12" w:space="0"/>
              <w:bottom w:val="single" w:color="auto" w:sz="4" w:space="0"/>
              <w:right w:val="single" w:color="auto" w:sz="12" w:space="0"/>
            </w:tcBorders>
            <w:vAlign w:val="center"/>
          </w:tcPr>
          <w:p>
            <w:pPr>
              <w:spacing w:line="380" w:lineRule="exact"/>
              <w:jc w:val="center"/>
              <w:rPr>
                <w:rFonts w:ascii="仿宋_GB2312" w:hAnsi="仿宋" w:eastAsia="仿宋_GB2312" w:cs="宋体"/>
                <w:b/>
                <w:sz w:val="21"/>
                <w:szCs w:val="21"/>
              </w:rPr>
            </w:pPr>
            <w:r>
              <w:rPr>
                <w:rFonts w:hint="eastAsia" w:ascii="仿宋_GB2312" w:hAnsi="仿宋" w:eastAsia="仿宋_GB2312" w:cs="Arial"/>
                <w:bCs/>
                <w:sz w:val="21"/>
                <w:szCs w:val="21"/>
              </w:rPr>
              <w:t>2、商务技术部分（满分70分）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39" w:hRule="atLeast"/>
          <w:jc w:val="center"/>
        </w:trPr>
        <w:tc>
          <w:tcPr>
            <w:tcW w:w="754" w:type="dxa"/>
            <w:tcBorders>
              <w:top w:val="single" w:color="auto" w:sz="6" w:space="0"/>
              <w:left w:val="single" w:color="auto" w:sz="12" w:space="0"/>
              <w:bottom w:val="single" w:color="auto" w:sz="4" w:space="0"/>
              <w:right w:val="single" w:color="auto" w:sz="6" w:space="0"/>
            </w:tcBorders>
            <w:vAlign w:val="center"/>
          </w:tcPr>
          <w:p>
            <w:pPr>
              <w:spacing w:line="380" w:lineRule="exact"/>
              <w:ind w:hanging="420"/>
              <w:jc w:val="center"/>
              <w:rPr>
                <w:rFonts w:ascii="仿宋_GB2312" w:hAnsi="仿宋" w:eastAsia="仿宋_GB2312" w:cs="宋体"/>
                <w:b/>
                <w:sz w:val="21"/>
                <w:szCs w:val="21"/>
              </w:rPr>
            </w:pPr>
            <w:r>
              <w:rPr>
                <w:rFonts w:hint="eastAsia" w:ascii="仿宋_GB2312" w:hAnsi="仿宋" w:eastAsia="仿宋_GB2312" w:cs="宋体"/>
                <w:b/>
                <w:sz w:val="21"/>
                <w:szCs w:val="21"/>
              </w:rPr>
              <w:t>1</w:t>
            </w:r>
          </w:p>
        </w:tc>
        <w:tc>
          <w:tcPr>
            <w:tcW w:w="8078" w:type="dxa"/>
            <w:gridSpan w:val="2"/>
            <w:tcBorders>
              <w:top w:val="single" w:color="auto" w:sz="6" w:space="0"/>
              <w:left w:val="single" w:color="auto" w:sz="6" w:space="0"/>
              <w:bottom w:val="single" w:color="auto" w:sz="4" w:space="0"/>
              <w:right w:val="single" w:color="auto" w:sz="6" w:space="0"/>
            </w:tcBorders>
            <w:vAlign w:val="center"/>
          </w:tcPr>
          <w:p>
            <w:pPr>
              <w:spacing w:line="380" w:lineRule="exact"/>
              <w:rPr>
                <w:rFonts w:ascii="仿宋_GB2312" w:hAnsi="仿宋" w:eastAsia="仿宋_GB2312" w:cs="宋体"/>
                <w:b/>
                <w:sz w:val="21"/>
                <w:szCs w:val="21"/>
              </w:rPr>
            </w:pPr>
            <w:r>
              <w:rPr>
                <w:rFonts w:hint="eastAsia" w:ascii="仿宋_GB2312" w:hAnsi="仿宋" w:eastAsia="仿宋_GB2312" w:cs="宋体"/>
                <w:b/>
                <w:sz w:val="21"/>
                <w:szCs w:val="21"/>
              </w:rPr>
              <w:t>针对“偿付能力”项目：</w:t>
            </w:r>
          </w:p>
          <w:p>
            <w:pPr>
              <w:spacing w:line="380" w:lineRule="exact"/>
              <w:rPr>
                <w:rFonts w:ascii="仿宋_GB2312" w:hAnsi="仿宋" w:eastAsia="仿宋_GB2312" w:cs="宋体"/>
                <w:sz w:val="21"/>
                <w:szCs w:val="21"/>
              </w:rPr>
            </w:pPr>
            <w:r>
              <w:rPr>
                <w:rFonts w:hint="eastAsia" w:ascii="仿宋_GB2312" w:hAnsi="仿宋" w:eastAsia="仿宋_GB2312"/>
                <w:sz w:val="21"/>
                <w:szCs w:val="21"/>
              </w:rPr>
              <w:t>根据比选申请人偿付能力（20</w:t>
            </w:r>
            <w:r>
              <w:rPr>
                <w:rFonts w:ascii="仿宋_GB2312" w:hAnsi="仿宋" w:eastAsia="仿宋_GB2312"/>
                <w:sz w:val="21"/>
                <w:szCs w:val="21"/>
              </w:rPr>
              <w:t>20</w:t>
            </w:r>
            <w:r>
              <w:rPr>
                <w:rFonts w:hint="eastAsia" w:ascii="仿宋_GB2312" w:hAnsi="仿宋" w:eastAsia="仿宋_GB2312"/>
                <w:sz w:val="21"/>
                <w:szCs w:val="21"/>
              </w:rPr>
              <w:t>年4季度）充足率情况，由评委进行评分：偿付能力充足率≥2</w:t>
            </w:r>
            <w:r>
              <w:rPr>
                <w:rFonts w:ascii="仿宋_GB2312" w:hAnsi="仿宋" w:eastAsia="仿宋_GB2312"/>
                <w:sz w:val="21"/>
                <w:szCs w:val="21"/>
              </w:rPr>
              <w:t>30</w:t>
            </w:r>
            <w:r>
              <w:rPr>
                <w:rFonts w:hint="eastAsia" w:ascii="仿宋_GB2312" w:hAnsi="仿宋" w:eastAsia="仿宋_GB2312"/>
                <w:sz w:val="21"/>
                <w:szCs w:val="21"/>
              </w:rPr>
              <w:t>%的，得10分；200%≤偿付能力充足率＜2</w:t>
            </w:r>
            <w:r>
              <w:rPr>
                <w:rFonts w:ascii="仿宋_GB2312" w:hAnsi="仿宋" w:eastAsia="仿宋_GB2312"/>
                <w:sz w:val="21"/>
                <w:szCs w:val="21"/>
              </w:rPr>
              <w:t>30</w:t>
            </w:r>
            <w:r>
              <w:rPr>
                <w:rFonts w:hint="eastAsia" w:ascii="仿宋_GB2312" w:hAnsi="仿宋" w:eastAsia="仿宋_GB2312"/>
                <w:sz w:val="21"/>
                <w:szCs w:val="21"/>
              </w:rPr>
              <w:t>%的，得5分；160%≤偿付能力充足率＜200%的，得3分，偿付能力充足率＜160%的，得0分。 （需提供相关证明材料）</w:t>
            </w:r>
          </w:p>
        </w:tc>
        <w:tc>
          <w:tcPr>
            <w:tcW w:w="1092" w:type="dxa"/>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b/>
                <w:sz w:val="21"/>
                <w:szCs w:val="21"/>
              </w:rPr>
            </w:pPr>
            <w:r>
              <w:rPr>
                <w:rFonts w:hint="eastAsia" w:ascii="仿宋_GB2312" w:hAnsi="仿宋" w:eastAsia="仿宋_GB2312" w:cs="宋体"/>
                <w:b/>
                <w:bCs/>
                <w:sz w:val="21"/>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2" w:hRule="atLeast"/>
          <w:jc w:val="center"/>
        </w:trPr>
        <w:tc>
          <w:tcPr>
            <w:tcW w:w="754" w:type="dxa"/>
            <w:tcBorders>
              <w:top w:val="single" w:color="auto" w:sz="6" w:space="0"/>
              <w:left w:val="single" w:color="auto" w:sz="12" w:space="0"/>
              <w:bottom w:val="single" w:color="auto" w:sz="4" w:space="0"/>
              <w:right w:val="single" w:color="auto" w:sz="6" w:space="0"/>
            </w:tcBorders>
            <w:vAlign w:val="center"/>
          </w:tcPr>
          <w:p>
            <w:pPr>
              <w:spacing w:line="380" w:lineRule="exact"/>
              <w:ind w:hanging="420"/>
              <w:jc w:val="center"/>
              <w:rPr>
                <w:rFonts w:ascii="仿宋_GB2312" w:hAnsi="仿宋" w:eastAsia="仿宋_GB2312" w:cs="宋体"/>
                <w:b/>
                <w:sz w:val="21"/>
                <w:szCs w:val="21"/>
              </w:rPr>
            </w:pPr>
            <w:r>
              <w:rPr>
                <w:rFonts w:hint="eastAsia" w:ascii="仿宋_GB2312" w:hAnsi="仿宋" w:eastAsia="仿宋_GB2312" w:cs="宋体"/>
                <w:b/>
                <w:sz w:val="21"/>
                <w:szCs w:val="21"/>
              </w:rPr>
              <w:t>2</w:t>
            </w:r>
          </w:p>
        </w:tc>
        <w:tc>
          <w:tcPr>
            <w:tcW w:w="8078" w:type="dxa"/>
            <w:gridSpan w:val="2"/>
            <w:tcBorders>
              <w:top w:val="single" w:color="auto" w:sz="6" w:space="0"/>
              <w:left w:val="single" w:color="auto" w:sz="6" w:space="0"/>
              <w:bottom w:val="single" w:color="auto" w:sz="4" w:space="0"/>
              <w:right w:val="single" w:color="auto" w:sz="6" w:space="0"/>
            </w:tcBorders>
          </w:tcPr>
          <w:p>
            <w:pPr>
              <w:spacing w:line="380" w:lineRule="exact"/>
              <w:rPr>
                <w:rFonts w:ascii="仿宋_GB2312" w:hAnsi="仿宋" w:eastAsia="仿宋_GB2312" w:cs="宋体"/>
                <w:b/>
                <w:sz w:val="21"/>
                <w:szCs w:val="21"/>
              </w:rPr>
            </w:pPr>
            <w:r>
              <w:rPr>
                <w:rFonts w:hint="eastAsia" w:ascii="仿宋_GB2312" w:hAnsi="仿宋" w:eastAsia="仿宋_GB2312" w:cs="宋体"/>
                <w:b/>
                <w:sz w:val="21"/>
                <w:szCs w:val="21"/>
              </w:rPr>
              <w:t>针对“经营年限”项目：</w:t>
            </w:r>
          </w:p>
          <w:p>
            <w:pPr>
              <w:spacing w:line="380" w:lineRule="exact"/>
              <w:rPr>
                <w:rFonts w:ascii="仿宋_GB2312" w:hAnsi="仿宋" w:eastAsia="仿宋_GB2312" w:cs="宋体"/>
                <w:b/>
                <w:sz w:val="21"/>
                <w:szCs w:val="21"/>
              </w:rPr>
            </w:pPr>
            <w:r>
              <w:rPr>
                <w:rFonts w:hint="eastAsia" w:ascii="仿宋_GB2312" w:hAnsi="宋体" w:eastAsia="仿宋_GB2312" w:cs="宋体"/>
                <w:sz w:val="21"/>
                <w:szCs w:val="21"/>
              </w:rPr>
              <w:t>比选申请人在福建设立不满1年的不得分，成立1到5年的得2分，成立5到10年的得3分，成立10年以上的得5分。注：提供省级分公司营业执照复印件并加盖公章。</w:t>
            </w:r>
          </w:p>
        </w:tc>
        <w:tc>
          <w:tcPr>
            <w:tcW w:w="1092" w:type="dxa"/>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b/>
                <w:bCs/>
                <w:sz w:val="21"/>
                <w:szCs w:val="21"/>
              </w:rPr>
            </w:pPr>
            <w:r>
              <w:rPr>
                <w:rFonts w:hint="eastAsia" w:ascii="仿宋_GB2312" w:hAnsi="仿宋" w:eastAsia="仿宋_GB2312" w:cs="宋体"/>
                <w:b/>
                <w:bCs/>
                <w:sz w:val="21"/>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39" w:hRule="atLeast"/>
          <w:jc w:val="center"/>
        </w:trPr>
        <w:tc>
          <w:tcPr>
            <w:tcW w:w="754" w:type="dxa"/>
            <w:tcBorders>
              <w:top w:val="single" w:color="auto" w:sz="6" w:space="0"/>
              <w:left w:val="single" w:color="auto" w:sz="12" w:space="0"/>
              <w:bottom w:val="single" w:color="auto" w:sz="4" w:space="0"/>
              <w:right w:val="single" w:color="auto" w:sz="6" w:space="0"/>
            </w:tcBorders>
            <w:vAlign w:val="center"/>
          </w:tcPr>
          <w:p>
            <w:pPr>
              <w:spacing w:line="380" w:lineRule="exact"/>
              <w:ind w:hanging="420"/>
              <w:jc w:val="center"/>
              <w:rPr>
                <w:rFonts w:ascii="仿宋_GB2312" w:hAnsi="仿宋" w:eastAsia="仿宋_GB2312" w:cs="宋体"/>
                <w:b/>
                <w:sz w:val="21"/>
                <w:szCs w:val="21"/>
              </w:rPr>
            </w:pPr>
            <w:r>
              <w:rPr>
                <w:rFonts w:hint="eastAsia" w:ascii="仿宋_GB2312" w:hAnsi="仿宋" w:eastAsia="仿宋_GB2312" w:cs="宋体"/>
                <w:b/>
                <w:sz w:val="21"/>
                <w:szCs w:val="21"/>
              </w:rPr>
              <w:t>3</w:t>
            </w:r>
          </w:p>
        </w:tc>
        <w:tc>
          <w:tcPr>
            <w:tcW w:w="8078" w:type="dxa"/>
            <w:gridSpan w:val="2"/>
            <w:tcBorders>
              <w:top w:val="single" w:color="auto" w:sz="6" w:space="0"/>
              <w:left w:val="single" w:color="auto" w:sz="6" w:space="0"/>
              <w:bottom w:val="single" w:color="auto" w:sz="4" w:space="0"/>
              <w:right w:val="single" w:color="auto" w:sz="6" w:space="0"/>
            </w:tcBorders>
            <w:vAlign w:val="center"/>
          </w:tcPr>
          <w:p>
            <w:pPr>
              <w:spacing w:line="380" w:lineRule="exact"/>
              <w:rPr>
                <w:rFonts w:ascii="仿宋_GB2312" w:hAnsi="仿宋" w:eastAsia="仿宋_GB2312" w:cs="宋体"/>
                <w:b/>
                <w:sz w:val="21"/>
                <w:szCs w:val="21"/>
              </w:rPr>
            </w:pPr>
            <w:r>
              <w:rPr>
                <w:rFonts w:hint="eastAsia" w:ascii="仿宋_GB2312" w:hAnsi="仿宋" w:eastAsia="仿宋_GB2312" w:cs="宋体"/>
                <w:b/>
                <w:sz w:val="21"/>
                <w:szCs w:val="21"/>
              </w:rPr>
              <w:t>针对“</w:t>
            </w:r>
            <w:r>
              <w:rPr>
                <w:rFonts w:hint="eastAsia" w:ascii="仿宋_GB2312" w:hAnsi="宋体" w:eastAsia="仿宋_GB2312" w:cs="宋体"/>
                <w:b/>
                <w:sz w:val="21"/>
                <w:szCs w:val="21"/>
              </w:rPr>
              <w:t>依法依规经营</w:t>
            </w:r>
            <w:r>
              <w:rPr>
                <w:rFonts w:hint="eastAsia" w:ascii="仿宋_GB2312" w:hAnsi="仿宋" w:eastAsia="仿宋_GB2312" w:cs="宋体"/>
                <w:b/>
                <w:sz w:val="21"/>
                <w:szCs w:val="21"/>
              </w:rPr>
              <w:t>”项目：</w:t>
            </w:r>
          </w:p>
          <w:p>
            <w:pPr>
              <w:spacing w:line="380" w:lineRule="exact"/>
              <w:rPr>
                <w:rFonts w:ascii="仿宋_GB2312" w:hAnsi="仿宋" w:eastAsia="仿宋_GB2312" w:cs="宋体"/>
                <w:b/>
                <w:sz w:val="21"/>
                <w:szCs w:val="21"/>
              </w:rPr>
            </w:pPr>
            <w:r>
              <w:rPr>
                <w:rFonts w:hint="eastAsia" w:ascii="仿宋_GB2312" w:hAnsi="宋体" w:eastAsia="仿宋_GB2312" w:cs="宋体"/>
                <w:sz w:val="21"/>
                <w:szCs w:val="21"/>
              </w:rPr>
              <w:t>比选申请人自201</w:t>
            </w:r>
            <w:r>
              <w:rPr>
                <w:rFonts w:ascii="仿宋_GB2312" w:hAnsi="宋体" w:eastAsia="仿宋_GB2312" w:cs="宋体"/>
                <w:sz w:val="21"/>
                <w:szCs w:val="21"/>
              </w:rPr>
              <w:t>7</w:t>
            </w:r>
            <w:r>
              <w:rPr>
                <w:rFonts w:hint="eastAsia" w:ascii="仿宋_GB2312" w:hAnsi="宋体" w:eastAsia="仿宋_GB2312" w:cs="宋体"/>
                <w:sz w:val="21"/>
                <w:szCs w:val="21"/>
              </w:rPr>
              <w:t>年1月1日至本公告发布之日止：未被保险监管机构处以行政处罚的得8分，比选申请人被行政处罚的该项不得分，要求比选申请人自行承诺；若在保险监管机构网站上查询证实到比选申请人有行政处罚记录的，而比选申请人未在比选文件承诺的，视为比选申请人虚假应答，比选申请无效。</w:t>
            </w:r>
          </w:p>
        </w:tc>
        <w:tc>
          <w:tcPr>
            <w:tcW w:w="1092" w:type="dxa"/>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b/>
                <w:bCs/>
                <w:sz w:val="21"/>
                <w:szCs w:val="21"/>
              </w:rPr>
            </w:pPr>
            <w:r>
              <w:rPr>
                <w:rFonts w:hint="eastAsia" w:ascii="仿宋_GB2312" w:hAnsi="仿宋" w:eastAsia="仿宋_GB2312" w:cs="宋体"/>
                <w:b/>
                <w:bCs/>
                <w:sz w:val="21"/>
                <w:szCs w:val="21"/>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14" w:hRule="atLeast"/>
          <w:jc w:val="center"/>
        </w:trPr>
        <w:tc>
          <w:tcPr>
            <w:tcW w:w="754" w:type="dxa"/>
            <w:tcBorders>
              <w:top w:val="single" w:color="auto" w:sz="6" w:space="0"/>
              <w:left w:val="single" w:color="auto" w:sz="12" w:space="0"/>
              <w:bottom w:val="single" w:color="auto" w:sz="4" w:space="0"/>
              <w:right w:val="single" w:color="auto" w:sz="6" w:space="0"/>
            </w:tcBorders>
            <w:vAlign w:val="center"/>
          </w:tcPr>
          <w:p>
            <w:pPr>
              <w:spacing w:line="380" w:lineRule="exact"/>
              <w:ind w:hanging="420"/>
              <w:jc w:val="center"/>
              <w:rPr>
                <w:rFonts w:ascii="仿宋_GB2312" w:hAnsi="仿宋" w:eastAsia="仿宋_GB2312" w:cs="宋体"/>
                <w:b/>
                <w:sz w:val="21"/>
                <w:szCs w:val="21"/>
              </w:rPr>
            </w:pPr>
            <w:r>
              <w:rPr>
                <w:rFonts w:hint="eastAsia" w:ascii="仿宋_GB2312" w:hAnsi="仿宋" w:eastAsia="仿宋_GB2312" w:cs="宋体"/>
                <w:b/>
                <w:sz w:val="21"/>
                <w:szCs w:val="21"/>
              </w:rPr>
              <w:t>4</w:t>
            </w:r>
          </w:p>
        </w:tc>
        <w:tc>
          <w:tcPr>
            <w:tcW w:w="8048" w:type="dxa"/>
            <w:tcBorders>
              <w:top w:val="single" w:color="auto" w:sz="6" w:space="0"/>
              <w:left w:val="single" w:color="auto" w:sz="6" w:space="0"/>
              <w:bottom w:val="single" w:color="auto" w:sz="4" w:space="0"/>
              <w:right w:val="single" w:color="auto" w:sz="6" w:space="0"/>
            </w:tcBorders>
            <w:vAlign w:val="center"/>
          </w:tcPr>
          <w:p>
            <w:pPr>
              <w:spacing w:line="380" w:lineRule="exact"/>
              <w:rPr>
                <w:rFonts w:ascii="仿宋_GB2312" w:hAnsi="仿宋" w:eastAsia="仿宋_GB2312" w:cs="宋体"/>
                <w:b/>
                <w:sz w:val="21"/>
                <w:szCs w:val="21"/>
              </w:rPr>
            </w:pPr>
            <w:r>
              <w:rPr>
                <w:rFonts w:hint="eastAsia" w:ascii="仿宋_GB2312" w:hAnsi="仿宋" w:eastAsia="仿宋_GB2312" w:cs="宋体"/>
                <w:b/>
                <w:sz w:val="21"/>
                <w:szCs w:val="21"/>
              </w:rPr>
              <w:t>针对“理赔模式”项目：</w:t>
            </w:r>
          </w:p>
          <w:p>
            <w:pPr>
              <w:widowControl/>
              <w:spacing w:line="360" w:lineRule="auto"/>
              <w:jc w:val="left"/>
              <w:rPr>
                <w:rFonts w:ascii="仿宋_GB2312" w:hAnsi="仿宋" w:eastAsia="仿宋_GB2312" w:cs="宋体"/>
                <w:sz w:val="21"/>
                <w:szCs w:val="21"/>
              </w:rPr>
            </w:pPr>
            <w:r>
              <w:rPr>
                <w:rFonts w:hint="eastAsia" w:ascii="仿宋_GB2312" w:hAnsi="仿宋" w:eastAsia="仿宋_GB2312" w:cs="宋体"/>
                <w:sz w:val="21"/>
                <w:szCs w:val="21"/>
              </w:rPr>
              <w:t>1.承诺提供传统上门服务处理理赔案件的得3分，否则不得分；</w:t>
            </w:r>
          </w:p>
          <w:p>
            <w:pPr>
              <w:widowControl/>
              <w:spacing w:line="360" w:lineRule="auto"/>
              <w:jc w:val="left"/>
              <w:rPr>
                <w:rFonts w:ascii="仿宋_GB2312" w:hAnsi="仿宋" w:eastAsia="仿宋_GB2312" w:cs="宋体"/>
                <w:sz w:val="21"/>
                <w:szCs w:val="21"/>
              </w:rPr>
            </w:pPr>
            <w:r>
              <w:rPr>
                <w:rFonts w:hint="eastAsia" w:ascii="仿宋_GB2312" w:hAnsi="仿宋" w:eastAsia="仿宋_GB2312" w:cs="宋体"/>
                <w:sz w:val="21"/>
                <w:szCs w:val="21"/>
              </w:rPr>
              <w:t>2.能提供每次理赔款在一定额度内无需提供任何理赔纸质材料的移动终端线上理赔服务的得4分，提供承诺书及相关证明材料，否则不得分；</w:t>
            </w:r>
          </w:p>
          <w:p>
            <w:pPr>
              <w:widowControl/>
              <w:spacing w:line="360" w:lineRule="auto"/>
              <w:jc w:val="left"/>
              <w:rPr>
                <w:rFonts w:ascii="仿宋_GB2312" w:hAnsi="宋体" w:eastAsia="仿宋_GB2312" w:cs="宋体"/>
                <w:sz w:val="21"/>
                <w:szCs w:val="21"/>
              </w:rPr>
            </w:pPr>
            <w:r>
              <w:rPr>
                <w:rFonts w:hint="eastAsia" w:ascii="仿宋_GB2312" w:hAnsi="仿宋" w:eastAsia="仿宋_GB2312" w:cs="宋体"/>
                <w:sz w:val="21"/>
                <w:szCs w:val="21"/>
              </w:rPr>
              <w:t>3.比选申请人提供的移动终端线上理赔服务属于比选申请人自有理赔系统的（需出具证明材料，不限于专利和获奖证书证明）得3分。</w:t>
            </w:r>
          </w:p>
        </w:tc>
        <w:tc>
          <w:tcPr>
            <w:tcW w:w="1122" w:type="dxa"/>
            <w:gridSpan w:val="2"/>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b/>
                <w:bCs/>
                <w:sz w:val="21"/>
                <w:szCs w:val="21"/>
              </w:rPr>
            </w:pPr>
            <w:r>
              <w:rPr>
                <w:rFonts w:hint="eastAsia" w:ascii="仿宋_GB2312" w:hAnsi="仿宋" w:eastAsia="仿宋_GB2312" w:cs="宋体"/>
                <w:b/>
                <w:bCs/>
                <w:sz w:val="21"/>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64" w:hRule="atLeast"/>
          <w:jc w:val="center"/>
        </w:trPr>
        <w:tc>
          <w:tcPr>
            <w:tcW w:w="754" w:type="dxa"/>
            <w:tcBorders>
              <w:top w:val="single" w:color="auto" w:sz="6" w:space="0"/>
              <w:left w:val="single" w:color="auto" w:sz="12" w:space="0"/>
              <w:bottom w:val="single" w:color="auto" w:sz="4" w:space="0"/>
              <w:right w:val="single" w:color="auto" w:sz="6" w:space="0"/>
            </w:tcBorders>
            <w:vAlign w:val="center"/>
          </w:tcPr>
          <w:p>
            <w:pPr>
              <w:spacing w:line="380" w:lineRule="exact"/>
              <w:ind w:hanging="420"/>
              <w:jc w:val="center"/>
              <w:rPr>
                <w:rFonts w:ascii="仿宋_GB2312" w:hAnsi="仿宋" w:eastAsia="仿宋_GB2312" w:cs="宋体"/>
                <w:b/>
                <w:sz w:val="21"/>
                <w:szCs w:val="21"/>
              </w:rPr>
            </w:pPr>
            <w:r>
              <w:rPr>
                <w:rFonts w:ascii="仿宋_GB2312" w:hAnsi="仿宋" w:eastAsia="仿宋_GB2312" w:cs="宋体"/>
                <w:b/>
                <w:sz w:val="21"/>
                <w:szCs w:val="21"/>
              </w:rPr>
              <w:t>5</w:t>
            </w:r>
          </w:p>
        </w:tc>
        <w:tc>
          <w:tcPr>
            <w:tcW w:w="8048" w:type="dxa"/>
            <w:tcBorders>
              <w:top w:val="single" w:color="auto" w:sz="6" w:space="0"/>
              <w:left w:val="single" w:color="auto" w:sz="6" w:space="0"/>
              <w:bottom w:val="single" w:color="auto" w:sz="4" w:space="0"/>
              <w:right w:val="single" w:color="auto" w:sz="6" w:space="0"/>
            </w:tcBorders>
          </w:tcPr>
          <w:p>
            <w:pPr>
              <w:spacing w:line="380" w:lineRule="exact"/>
              <w:rPr>
                <w:rFonts w:ascii="仿宋_GB2312" w:hAnsi="仿宋" w:eastAsia="仿宋_GB2312" w:cs="宋体"/>
                <w:b/>
                <w:sz w:val="21"/>
                <w:szCs w:val="21"/>
              </w:rPr>
            </w:pPr>
            <w:r>
              <w:rPr>
                <w:rFonts w:hint="eastAsia" w:ascii="仿宋_GB2312" w:hAnsi="仿宋" w:eastAsia="仿宋_GB2312" w:cs="宋体"/>
                <w:b/>
                <w:sz w:val="21"/>
                <w:szCs w:val="21"/>
              </w:rPr>
              <w:t>针对“理赔时效”项目：</w:t>
            </w:r>
          </w:p>
          <w:p>
            <w:pPr>
              <w:widowControl/>
              <w:spacing w:line="380" w:lineRule="exact"/>
              <w:rPr>
                <w:rFonts w:ascii="仿宋_GB2312" w:hAnsi="仿宋" w:eastAsia="仿宋_GB2312" w:cs="宋体"/>
                <w:sz w:val="21"/>
                <w:szCs w:val="21"/>
              </w:rPr>
            </w:pPr>
            <w:r>
              <w:rPr>
                <w:rFonts w:hint="eastAsia" w:ascii="仿宋_GB2312" w:hAnsi="仿宋" w:eastAsia="仿宋_GB2312" w:cs="宋体"/>
                <w:sz w:val="21"/>
                <w:szCs w:val="21"/>
              </w:rPr>
              <w:t>1.传统线下理赔：比选申请人承诺在接到客户报案后，能在收到投保人齐全的理赔材料之日，对于责任明确且无需调查的案件在5个工作日内结案并划出理赔款，复杂案件在30个工作日内结案并划出理赔款的得3分；未承诺且无法满足以上要求的不得分。</w:t>
            </w:r>
          </w:p>
          <w:p>
            <w:pPr>
              <w:widowControl/>
              <w:spacing w:line="380" w:lineRule="exact"/>
              <w:rPr>
                <w:rFonts w:ascii="仿宋_GB2312" w:hAnsi="仿宋" w:eastAsia="仿宋_GB2312"/>
                <w:sz w:val="21"/>
                <w:szCs w:val="21"/>
              </w:rPr>
            </w:pPr>
            <w:r>
              <w:rPr>
                <w:rFonts w:hint="eastAsia" w:ascii="仿宋_GB2312" w:hAnsi="仿宋" w:eastAsia="仿宋_GB2312" w:cs="宋体"/>
                <w:sz w:val="21"/>
                <w:szCs w:val="21"/>
              </w:rPr>
              <w:t>2.创新线上理赔：承诺在理赔材料齐全、责任明确且无需调查的案件、无异议的情况下，线上理赔案件平均5日内可完成赔付的得3分；未承诺且无法满足以上要求的不得分。</w:t>
            </w:r>
          </w:p>
        </w:tc>
        <w:tc>
          <w:tcPr>
            <w:tcW w:w="1122" w:type="dxa"/>
            <w:gridSpan w:val="2"/>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b/>
                <w:bCs/>
                <w:sz w:val="21"/>
                <w:szCs w:val="21"/>
              </w:rPr>
            </w:pPr>
            <w:r>
              <w:rPr>
                <w:rFonts w:hint="eastAsia" w:ascii="仿宋_GB2312" w:hAnsi="仿宋" w:eastAsia="仿宋_GB2312" w:cs="宋体"/>
                <w:b/>
                <w:bCs/>
                <w:sz w:val="21"/>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33" w:hRule="atLeast"/>
          <w:jc w:val="center"/>
        </w:trPr>
        <w:tc>
          <w:tcPr>
            <w:tcW w:w="754" w:type="dxa"/>
            <w:tcBorders>
              <w:top w:val="single" w:color="auto" w:sz="6" w:space="0"/>
              <w:left w:val="single" w:color="auto" w:sz="12" w:space="0"/>
              <w:bottom w:val="single" w:color="auto" w:sz="4" w:space="0"/>
              <w:right w:val="single" w:color="auto" w:sz="6" w:space="0"/>
            </w:tcBorders>
            <w:vAlign w:val="center"/>
          </w:tcPr>
          <w:p>
            <w:pPr>
              <w:spacing w:line="380" w:lineRule="exact"/>
              <w:ind w:hanging="420"/>
              <w:jc w:val="center"/>
              <w:rPr>
                <w:rFonts w:ascii="仿宋_GB2312" w:hAnsi="仿宋" w:eastAsia="仿宋_GB2312" w:cs="宋体"/>
                <w:b/>
                <w:sz w:val="21"/>
                <w:szCs w:val="21"/>
              </w:rPr>
            </w:pPr>
            <w:r>
              <w:rPr>
                <w:rFonts w:ascii="仿宋_GB2312" w:hAnsi="仿宋" w:eastAsia="仿宋_GB2312" w:cs="宋体"/>
                <w:b/>
                <w:sz w:val="21"/>
                <w:szCs w:val="21"/>
              </w:rPr>
              <w:t>6</w:t>
            </w:r>
          </w:p>
        </w:tc>
        <w:tc>
          <w:tcPr>
            <w:tcW w:w="8048" w:type="dxa"/>
            <w:tcBorders>
              <w:top w:val="single" w:color="auto" w:sz="6" w:space="0"/>
              <w:left w:val="single" w:color="auto" w:sz="6" w:space="0"/>
              <w:bottom w:val="single" w:color="auto" w:sz="4" w:space="0"/>
              <w:right w:val="single" w:color="auto" w:sz="6" w:space="0"/>
            </w:tcBorders>
          </w:tcPr>
          <w:p>
            <w:pPr>
              <w:spacing w:line="380" w:lineRule="exact"/>
              <w:rPr>
                <w:rFonts w:ascii="仿宋_GB2312" w:hAnsi="仿宋" w:eastAsia="仿宋_GB2312"/>
                <w:b/>
                <w:sz w:val="21"/>
                <w:szCs w:val="21"/>
              </w:rPr>
            </w:pPr>
            <w:r>
              <w:rPr>
                <w:rFonts w:hint="eastAsia" w:ascii="仿宋_GB2312" w:hAnsi="仿宋" w:eastAsia="仿宋_GB2312"/>
                <w:b/>
                <w:sz w:val="21"/>
                <w:szCs w:val="21"/>
              </w:rPr>
              <w:t>针对“</w:t>
            </w:r>
            <w:r>
              <w:rPr>
                <w:rFonts w:hint="eastAsia" w:ascii="仿宋_GB2312" w:hAnsi="宋体" w:eastAsia="仿宋_GB2312" w:cs="宋体"/>
                <w:b/>
                <w:sz w:val="21"/>
                <w:szCs w:val="21"/>
              </w:rPr>
              <w:t>住院理赔预付机制</w:t>
            </w:r>
            <w:r>
              <w:rPr>
                <w:rFonts w:hint="eastAsia" w:ascii="仿宋_GB2312" w:hAnsi="仿宋" w:eastAsia="仿宋_GB2312"/>
                <w:b/>
                <w:sz w:val="21"/>
                <w:szCs w:val="21"/>
              </w:rPr>
              <w:t>”项目：</w:t>
            </w:r>
          </w:p>
          <w:p>
            <w:pPr>
              <w:spacing w:line="380" w:lineRule="exact"/>
              <w:rPr>
                <w:rFonts w:ascii="仿宋_GB2312" w:hAnsi="仿宋" w:eastAsia="仿宋_GB2312" w:cs="宋体"/>
                <w:b/>
                <w:sz w:val="21"/>
                <w:szCs w:val="21"/>
              </w:rPr>
            </w:pPr>
            <w:r>
              <w:rPr>
                <w:rFonts w:hint="eastAsia" w:ascii="仿宋_GB2312" w:hAnsi="仿宋" w:eastAsia="仿宋_GB2312" w:cs="宋体"/>
                <w:sz w:val="21"/>
                <w:szCs w:val="21"/>
              </w:rPr>
              <w:t>在案件清楚、责任明确及理赔金额确定的情况下，在提交相关简化的材料后，可提供最高100%的确定理赔金额预付比例的住院理赔款预付机制服务的得3分，提供承诺书，否则不得分。</w:t>
            </w:r>
          </w:p>
        </w:tc>
        <w:tc>
          <w:tcPr>
            <w:tcW w:w="1122" w:type="dxa"/>
            <w:gridSpan w:val="2"/>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b/>
                <w:bCs/>
                <w:sz w:val="21"/>
                <w:szCs w:val="21"/>
              </w:rPr>
            </w:pPr>
            <w:r>
              <w:rPr>
                <w:rFonts w:hint="eastAsia" w:ascii="仿宋_GB2312" w:hAnsi="仿宋" w:eastAsia="仿宋_GB2312" w:cs="宋体"/>
                <w:b/>
                <w:bCs/>
                <w:sz w:val="21"/>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754" w:type="dxa"/>
            <w:tcBorders>
              <w:top w:val="single" w:color="auto" w:sz="6" w:space="0"/>
              <w:left w:val="single" w:color="auto" w:sz="12" w:space="0"/>
              <w:bottom w:val="single" w:color="auto" w:sz="4" w:space="0"/>
              <w:right w:val="single" w:color="auto" w:sz="6" w:space="0"/>
            </w:tcBorders>
            <w:vAlign w:val="center"/>
          </w:tcPr>
          <w:p>
            <w:pPr>
              <w:spacing w:line="380" w:lineRule="exact"/>
              <w:ind w:hanging="420"/>
              <w:jc w:val="center"/>
              <w:rPr>
                <w:rFonts w:ascii="仿宋_GB2312" w:hAnsi="仿宋" w:eastAsia="仿宋_GB2312" w:cs="宋体"/>
                <w:b/>
                <w:sz w:val="21"/>
                <w:szCs w:val="21"/>
              </w:rPr>
            </w:pPr>
            <w:r>
              <w:rPr>
                <w:rFonts w:ascii="仿宋_GB2312" w:hAnsi="仿宋" w:eastAsia="仿宋_GB2312" w:cs="宋体"/>
                <w:b/>
                <w:sz w:val="21"/>
                <w:szCs w:val="21"/>
              </w:rPr>
              <w:t>7</w:t>
            </w:r>
          </w:p>
        </w:tc>
        <w:tc>
          <w:tcPr>
            <w:tcW w:w="8048" w:type="dxa"/>
            <w:tcBorders>
              <w:top w:val="single" w:color="auto" w:sz="6" w:space="0"/>
              <w:left w:val="single" w:color="auto" w:sz="6" w:space="0"/>
              <w:bottom w:val="single" w:color="auto" w:sz="4" w:space="0"/>
              <w:right w:val="single" w:color="auto" w:sz="6" w:space="0"/>
            </w:tcBorders>
            <w:vAlign w:val="center"/>
          </w:tcPr>
          <w:p>
            <w:pPr>
              <w:spacing w:line="380" w:lineRule="exact"/>
              <w:rPr>
                <w:rFonts w:ascii="仿宋_GB2312" w:hAnsi="仿宋" w:eastAsia="仿宋_GB2312"/>
                <w:b/>
                <w:sz w:val="21"/>
                <w:szCs w:val="21"/>
              </w:rPr>
            </w:pPr>
            <w:r>
              <w:rPr>
                <w:rFonts w:hint="eastAsia" w:ascii="仿宋_GB2312" w:hAnsi="仿宋" w:eastAsia="仿宋_GB2312"/>
                <w:b/>
                <w:sz w:val="21"/>
                <w:szCs w:val="21"/>
              </w:rPr>
              <w:t>针对“专职上门服务人员设置”项目：</w:t>
            </w:r>
          </w:p>
          <w:p>
            <w:pPr>
              <w:spacing w:line="380" w:lineRule="exact"/>
              <w:rPr>
                <w:rFonts w:ascii="仿宋_GB2312" w:hAnsi="仿宋" w:eastAsia="仿宋_GB2312"/>
                <w:sz w:val="21"/>
                <w:szCs w:val="21"/>
              </w:rPr>
            </w:pPr>
            <w:r>
              <w:rPr>
                <w:rFonts w:hint="eastAsia" w:ascii="仿宋_GB2312" w:hAnsi="仿宋" w:eastAsia="仿宋_GB2312"/>
                <w:sz w:val="21"/>
                <w:szCs w:val="21"/>
              </w:rPr>
              <w:t>设置专职上门服务人员的得满分2分；未设置上门专职服务人员得0分。</w:t>
            </w:r>
          </w:p>
        </w:tc>
        <w:tc>
          <w:tcPr>
            <w:tcW w:w="1122" w:type="dxa"/>
            <w:gridSpan w:val="2"/>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b/>
                <w:bCs/>
                <w:sz w:val="21"/>
                <w:szCs w:val="21"/>
              </w:rPr>
            </w:pPr>
            <w:r>
              <w:rPr>
                <w:rFonts w:hint="eastAsia" w:ascii="仿宋_GB2312" w:hAnsi="仿宋" w:eastAsia="仿宋_GB2312" w:cs="宋体"/>
                <w:b/>
                <w:bCs/>
                <w:sz w:val="21"/>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04" w:hRule="atLeast"/>
          <w:jc w:val="center"/>
        </w:trPr>
        <w:tc>
          <w:tcPr>
            <w:tcW w:w="754" w:type="dxa"/>
            <w:tcBorders>
              <w:top w:val="single" w:color="auto" w:sz="6" w:space="0"/>
              <w:left w:val="single" w:color="auto" w:sz="12" w:space="0"/>
              <w:bottom w:val="single" w:color="auto" w:sz="4" w:space="0"/>
              <w:right w:val="single" w:color="auto" w:sz="6" w:space="0"/>
            </w:tcBorders>
            <w:vAlign w:val="center"/>
          </w:tcPr>
          <w:p>
            <w:pPr>
              <w:spacing w:line="380" w:lineRule="exact"/>
              <w:ind w:hanging="420"/>
              <w:jc w:val="center"/>
              <w:rPr>
                <w:rFonts w:ascii="仿宋_GB2312" w:hAnsi="仿宋" w:eastAsia="仿宋_GB2312" w:cs="宋体"/>
                <w:b/>
                <w:sz w:val="21"/>
                <w:szCs w:val="21"/>
              </w:rPr>
            </w:pPr>
            <w:r>
              <w:rPr>
                <w:rFonts w:ascii="仿宋_GB2312" w:hAnsi="仿宋" w:eastAsia="仿宋_GB2312" w:cs="宋体"/>
                <w:b/>
                <w:sz w:val="21"/>
                <w:szCs w:val="21"/>
              </w:rPr>
              <w:t>8</w:t>
            </w:r>
          </w:p>
        </w:tc>
        <w:tc>
          <w:tcPr>
            <w:tcW w:w="8048" w:type="dxa"/>
            <w:tcBorders>
              <w:top w:val="single" w:color="auto" w:sz="6" w:space="0"/>
              <w:left w:val="single" w:color="auto" w:sz="6" w:space="0"/>
              <w:bottom w:val="single" w:color="auto" w:sz="4" w:space="0"/>
              <w:right w:val="single" w:color="auto" w:sz="6" w:space="0"/>
            </w:tcBorders>
          </w:tcPr>
          <w:p>
            <w:pPr>
              <w:spacing w:line="380" w:lineRule="exact"/>
              <w:rPr>
                <w:rFonts w:ascii="仿宋_GB2312" w:hAnsi="仿宋" w:eastAsia="仿宋_GB2312" w:cs="宋体"/>
                <w:b/>
                <w:sz w:val="21"/>
                <w:szCs w:val="21"/>
              </w:rPr>
            </w:pPr>
            <w:r>
              <w:rPr>
                <w:rFonts w:hint="eastAsia" w:ascii="仿宋_GB2312" w:hAnsi="仿宋" w:eastAsia="仿宋_GB2312" w:cs="宋体"/>
                <w:b/>
                <w:sz w:val="21"/>
                <w:szCs w:val="21"/>
              </w:rPr>
              <w:t>针对“</w:t>
            </w:r>
            <w:r>
              <w:rPr>
                <w:rFonts w:hint="eastAsia" w:ascii="仿宋_GB2312" w:hAnsi="宋体" w:eastAsia="仿宋_GB2312" w:cs="宋体"/>
                <w:b/>
                <w:sz w:val="21"/>
                <w:szCs w:val="21"/>
              </w:rPr>
              <w:t>加人机制</w:t>
            </w:r>
            <w:r>
              <w:rPr>
                <w:rFonts w:hint="eastAsia" w:ascii="仿宋_GB2312" w:hAnsi="仿宋" w:eastAsia="仿宋_GB2312" w:cs="宋体"/>
                <w:b/>
                <w:sz w:val="21"/>
                <w:szCs w:val="21"/>
              </w:rPr>
              <w:t>”项目：</w:t>
            </w:r>
          </w:p>
          <w:p>
            <w:pPr>
              <w:spacing w:line="380" w:lineRule="exact"/>
              <w:rPr>
                <w:rFonts w:ascii="仿宋_GB2312" w:hAnsi="仿宋" w:eastAsia="仿宋_GB2312" w:cs="宋体"/>
                <w:sz w:val="21"/>
                <w:szCs w:val="21"/>
              </w:rPr>
            </w:pPr>
            <w:r>
              <w:rPr>
                <w:rFonts w:hint="eastAsia" w:ascii="仿宋_GB2312" w:hAnsi="仿宋" w:eastAsia="仿宋_GB2312" w:cs="宋体"/>
                <w:sz w:val="21"/>
                <w:szCs w:val="21"/>
              </w:rPr>
              <w:t>1.因增加新入职职工产生的增加保费结算能以天为单位，以年缴费为例：加保收费=年保费/365*距离保单结束天数，得2分；</w:t>
            </w:r>
          </w:p>
          <w:p>
            <w:pPr>
              <w:spacing w:line="380" w:lineRule="exact"/>
              <w:rPr>
                <w:rFonts w:ascii="仿宋_GB2312" w:hAnsi="仿宋" w:eastAsia="仿宋_GB2312" w:cs="宋体"/>
                <w:sz w:val="21"/>
                <w:szCs w:val="21"/>
              </w:rPr>
            </w:pPr>
            <w:r>
              <w:rPr>
                <w:rFonts w:hint="eastAsia" w:ascii="仿宋_GB2312" w:hAnsi="仿宋" w:eastAsia="仿宋_GB2312" w:cs="宋体"/>
                <w:sz w:val="21"/>
                <w:szCs w:val="21"/>
              </w:rPr>
              <w:t>2.加保费用能支持半年结算并最高有30天缴费宽限期，得4分；</w:t>
            </w:r>
          </w:p>
          <w:p>
            <w:pPr>
              <w:spacing w:line="380" w:lineRule="exact"/>
              <w:rPr>
                <w:rFonts w:ascii="仿宋_GB2312" w:hAnsi="仿宋" w:eastAsia="仿宋_GB2312" w:cs="宋体"/>
                <w:sz w:val="21"/>
                <w:szCs w:val="21"/>
              </w:rPr>
            </w:pPr>
            <w:r>
              <w:rPr>
                <w:rFonts w:hint="eastAsia" w:ascii="仿宋_GB2312" w:hAnsi="仿宋" w:eastAsia="仿宋_GB2312" w:cs="宋体"/>
                <w:sz w:val="21"/>
                <w:szCs w:val="21"/>
              </w:rPr>
              <w:t>3.比选申请人能提供网上网络自助加保操作系统的，且能即时下载人员变更明细及相关费用情况列表（包括被保险人基本信息、操作及生效日、加减保费金额等）的得4分；</w:t>
            </w:r>
          </w:p>
          <w:p>
            <w:pPr>
              <w:spacing w:line="380" w:lineRule="exact"/>
              <w:rPr>
                <w:rFonts w:ascii="仿宋_GB2312" w:hAnsi="仿宋" w:eastAsia="仿宋_GB2312" w:cs="宋体"/>
                <w:b/>
                <w:sz w:val="21"/>
                <w:szCs w:val="21"/>
              </w:rPr>
            </w:pPr>
            <w:r>
              <w:rPr>
                <w:rFonts w:hint="eastAsia" w:ascii="仿宋_GB2312" w:hAnsi="仿宋" w:eastAsia="仿宋_GB2312" w:cs="宋体"/>
                <w:sz w:val="21"/>
                <w:szCs w:val="21"/>
              </w:rPr>
              <w:t>4.提供上述要求的书面承诺书及相关证明材料（若有），否则不得分。</w:t>
            </w:r>
          </w:p>
        </w:tc>
        <w:tc>
          <w:tcPr>
            <w:tcW w:w="1122" w:type="dxa"/>
            <w:gridSpan w:val="2"/>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b/>
                <w:bCs/>
                <w:sz w:val="21"/>
                <w:szCs w:val="21"/>
              </w:rPr>
            </w:pPr>
            <w:r>
              <w:rPr>
                <w:rFonts w:hint="eastAsia" w:ascii="仿宋_GB2312" w:hAnsi="仿宋" w:eastAsia="仿宋_GB2312" w:cs="宋体"/>
                <w:b/>
                <w:bCs/>
                <w:sz w:val="21"/>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20" w:hRule="atLeast"/>
          <w:jc w:val="center"/>
        </w:trPr>
        <w:tc>
          <w:tcPr>
            <w:tcW w:w="754" w:type="dxa"/>
            <w:tcBorders>
              <w:top w:val="single" w:color="auto" w:sz="6" w:space="0"/>
              <w:left w:val="single" w:color="auto" w:sz="12" w:space="0"/>
              <w:bottom w:val="single" w:color="auto" w:sz="4" w:space="0"/>
              <w:right w:val="single" w:color="auto" w:sz="6" w:space="0"/>
            </w:tcBorders>
            <w:vAlign w:val="center"/>
          </w:tcPr>
          <w:p>
            <w:pPr>
              <w:spacing w:line="380" w:lineRule="exact"/>
              <w:ind w:hanging="420"/>
              <w:jc w:val="center"/>
              <w:rPr>
                <w:rFonts w:ascii="仿宋_GB2312" w:hAnsi="仿宋" w:eastAsia="仿宋_GB2312" w:cs="宋体"/>
                <w:b/>
                <w:sz w:val="21"/>
                <w:szCs w:val="21"/>
              </w:rPr>
            </w:pPr>
            <w:r>
              <w:rPr>
                <w:rFonts w:ascii="仿宋_GB2312" w:hAnsi="仿宋" w:eastAsia="仿宋_GB2312" w:cs="宋体"/>
                <w:b/>
                <w:sz w:val="21"/>
                <w:szCs w:val="21"/>
              </w:rPr>
              <w:t>9</w:t>
            </w:r>
          </w:p>
        </w:tc>
        <w:tc>
          <w:tcPr>
            <w:tcW w:w="8048" w:type="dxa"/>
            <w:tcBorders>
              <w:top w:val="single" w:color="auto" w:sz="6" w:space="0"/>
              <w:left w:val="single" w:color="auto" w:sz="6" w:space="0"/>
              <w:bottom w:val="single" w:color="auto" w:sz="4" w:space="0"/>
              <w:right w:val="single" w:color="auto" w:sz="6" w:space="0"/>
            </w:tcBorders>
            <w:vAlign w:val="center"/>
          </w:tcPr>
          <w:p>
            <w:pPr>
              <w:spacing w:line="380" w:lineRule="exact"/>
              <w:rPr>
                <w:rFonts w:ascii="仿宋_GB2312" w:hAnsi="仿宋" w:eastAsia="仿宋_GB2312"/>
                <w:b/>
                <w:sz w:val="21"/>
                <w:szCs w:val="21"/>
              </w:rPr>
            </w:pPr>
            <w:r>
              <w:rPr>
                <w:rFonts w:hint="eastAsia" w:ascii="仿宋_GB2312" w:hAnsi="仿宋" w:eastAsia="仿宋_GB2312"/>
                <w:b/>
                <w:sz w:val="21"/>
                <w:szCs w:val="21"/>
              </w:rPr>
              <w:t>针对“服务网点”项目：</w:t>
            </w:r>
          </w:p>
          <w:p>
            <w:pPr>
              <w:spacing w:line="380" w:lineRule="exact"/>
              <w:rPr>
                <w:rFonts w:ascii="仿宋_GB2312" w:hAnsi="仿宋" w:eastAsia="仿宋_GB2312"/>
                <w:sz w:val="21"/>
                <w:szCs w:val="21"/>
              </w:rPr>
            </w:pPr>
            <w:r>
              <w:rPr>
                <w:rFonts w:hint="eastAsia" w:ascii="仿宋_GB2312" w:hAnsi="仿宋" w:eastAsia="仿宋_GB2312"/>
                <w:sz w:val="21"/>
                <w:szCs w:val="21"/>
              </w:rPr>
              <w:t>比选申请人注册地为宁德市或者在宁德市设立有服务网点的得</w:t>
            </w:r>
            <w:r>
              <w:rPr>
                <w:rFonts w:ascii="仿宋_GB2312" w:hAnsi="仿宋" w:eastAsia="仿宋_GB2312"/>
                <w:sz w:val="21"/>
                <w:szCs w:val="21"/>
              </w:rPr>
              <w:t>6</w:t>
            </w:r>
            <w:r>
              <w:rPr>
                <w:rFonts w:hint="eastAsia" w:ascii="仿宋_GB2312" w:hAnsi="仿宋" w:eastAsia="仿宋_GB2312"/>
                <w:sz w:val="21"/>
                <w:szCs w:val="21"/>
              </w:rPr>
              <w:t>分；比选申请人注册地为福建或者福建省设立有服务网点的得</w:t>
            </w:r>
            <w:r>
              <w:rPr>
                <w:rFonts w:ascii="仿宋_GB2312" w:hAnsi="仿宋" w:eastAsia="仿宋_GB2312"/>
                <w:sz w:val="21"/>
                <w:szCs w:val="21"/>
              </w:rPr>
              <w:t>3</w:t>
            </w:r>
            <w:r>
              <w:rPr>
                <w:rFonts w:hint="eastAsia" w:ascii="仿宋_GB2312" w:hAnsi="仿宋" w:eastAsia="仿宋_GB2312"/>
                <w:sz w:val="21"/>
                <w:szCs w:val="21"/>
              </w:rPr>
              <w:t>分（宁德市除外）。比选申请人须在比选文件中提供相关营业执照复印件作为考评依据，未提供者不得分。</w:t>
            </w:r>
          </w:p>
        </w:tc>
        <w:tc>
          <w:tcPr>
            <w:tcW w:w="1122" w:type="dxa"/>
            <w:gridSpan w:val="2"/>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b/>
                <w:bCs/>
                <w:sz w:val="21"/>
                <w:szCs w:val="21"/>
              </w:rPr>
            </w:pPr>
            <w:r>
              <w:rPr>
                <w:rFonts w:ascii="仿宋_GB2312" w:hAnsi="仿宋" w:eastAsia="仿宋_GB2312" w:cs="宋体"/>
                <w:b/>
                <w:bCs/>
                <w:sz w:val="21"/>
                <w:szCs w:val="21"/>
              </w:rPr>
              <w:t>6</w:t>
            </w:r>
            <w:r>
              <w:rPr>
                <w:rFonts w:hint="eastAsia" w:ascii="仿宋_GB2312" w:hAnsi="仿宋" w:eastAsia="仿宋_GB2312" w:cs="宋体"/>
                <w:b/>
                <w:bCs/>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49" w:hRule="atLeast"/>
          <w:jc w:val="center"/>
        </w:trPr>
        <w:tc>
          <w:tcPr>
            <w:tcW w:w="754" w:type="dxa"/>
            <w:tcBorders>
              <w:top w:val="single" w:color="auto" w:sz="6" w:space="0"/>
              <w:left w:val="single" w:color="auto" w:sz="12" w:space="0"/>
              <w:bottom w:val="single" w:color="auto" w:sz="6" w:space="0"/>
              <w:right w:val="single" w:color="auto" w:sz="6" w:space="0"/>
            </w:tcBorders>
            <w:vAlign w:val="center"/>
          </w:tcPr>
          <w:p>
            <w:pPr>
              <w:spacing w:line="380" w:lineRule="exact"/>
              <w:ind w:hanging="420"/>
              <w:jc w:val="center"/>
              <w:rPr>
                <w:rFonts w:ascii="仿宋_GB2312" w:hAnsi="仿宋" w:eastAsia="仿宋_GB2312" w:cs="宋体"/>
                <w:b/>
                <w:sz w:val="21"/>
                <w:szCs w:val="21"/>
              </w:rPr>
            </w:pPr>
            <w:r>
              <w:rPr>
                <w:rFonts w:ascii="仿宋_GB2312" w:hAnsi="仿宋" w:eastAsia="仿宋_GB2312" w:cs="宋体"/>
                <w:b/>
                <w:sz w:val="21"/>
                <w:szCs w:val="21"/>
              </w:rPr>
              <w:t>10</w:t>
            </w:r>
          </w:p>
        </w:tc>
        <w:tc>
          <w:tcPr>
            <w:tcW w:w="8048" w:type="dxa"/>
            <w:tcBorders>
              <w:top w:val="single" w:color="auto" w:sz="6" w:space="0"/>
              <w:left w:val="single" w:color="auto" w:sz="6" w:space="0"/>
              <w:bottom w:val="single" w:color="auto" w:sz="6" w:space="0"/>
              <w:right w:val="single" w:color="auto" w:sz="6" w:space="0"/>
            </w:tcBorders>
            <w:vAlign w:val="center"/>
          </w:tcPr>
          <w:p>
            <w:pPr>
              <w:spacing w:line="380" w:lineRule="exact"/>
              <w:rPr>
                <w:rFonts w:ascii="仿宋_GB2312" w:hAnsi="仿宋" w:eastAsia="仿宋_GB2312"/>
                <w:b/>
                <w:sz w:val="21"/>
                <w:szCs w:val="21"/>
              </w:rPr>
            </w:pPr>
            <w:r>
              <w:rPr>
                <w:rFonts w:hint="eastAsia" w:ascii="仿宋_GB2312" w:hAnsi="仿宋" w:eastAsia="仿宋_GB2312"/>
                <w:b/>
                <w:sz w:val="21"/>
                <w:szCs w:val="21"/>
              </w:rPr>
              <w:t>针对“</w:t>
            </w:r>
            <w:r>
              <w:rPr>
                <w:rFonts w:hint="eastAsia" w:ascii="仿宋_GB2312" w:hAnsi="宋体" w:eastAsia="仿宋_GB2312" w:cs="宋体"/>
                <w:b/>
                <w:sz w:val="21"/>
                <w:szCs w:val="21"/>
              </w:rPr>
              <w:t>增值服务</w:t>
            </w:r>
            <w:r>
              <w:rPr>
                <w:rFonts w:hint="eastAsia" w:ascii="仿宋_GB2312" w:hAnsi="仿宋" w:eastAsia="仿宋_GB2312"/>
                <w:b/>
                <w:sz w:val="21"/>
                <w:szCs w:val="21"/>
              </w:rPr>
              <w:t>”项目：</w:t>
            </w:r>
          </w:p>
          <w:p>
            <w:pPr>
              <w:spacing w:line="380" w:lineRule="exact"/>
              <w:rPr>
                <w:rFonts w:ascii="仿宋_GB2312" w:hAnsi="宋体" w:eastAsia="仿宋_GB2312" w:cs="宋体"/>
                <w:sz w:val="21"/>
                <w:szCs w:val="21"/>
              </w:rPr>
            </w:pPr>
            <w:r>
              <w:rPr>
                <w:rFonts w:hint="eastAsia" w:ascii="仿宋_GB2312" w:hAnsi="宋体" w:eastAsia="仿宋_GB2312" w:cs="宋体"/>
                <w:sz w:val="21"/>
                <w:szCs w:val="21"/>
              </w:rPr>
              <w:t>比选申请人提供以下增值服务:</w:t>
            </w:r>
          </w:p>
          <w:p>
            <w:pPr>
              <w:spacing w:line="380" w:lineRule="exact"/>
              <w:rPr>
                <w:rFonts w:ascii="仿宋_GB2312" w:hAnsi="宋体" w:eastAsia="仿宋_GB2312" w:cs="宋体"/>
                <w:sz w:val="21"/>
                <w:szCs w:val="21"/>
              </w:rPr>
            </w:pPr>
            <w:r>
              <w:rPr>
                <w:rFonts w:hint="eastAsia" w:ascii="仿宋_GB2312" w:hAnsi="宋体" w:eastAsia="仿宋_GB2312" w:cs="宋体"/>
                <w:sz w:val="21"/>
                <w:szCs w:val="21"/>
              </w:rPr>
              <w:t>1、提供电话和APP问诊，得4分</w:t>
            </w:r>
          </w:p>
          <w:p>
            <w:pPr>
              <w:spacing w:line="380" w:lineRule="exact"/>
              <w:rPr>
                <w:rFonts w:ascii="仿宋_GB2312" w:hAnsi="宋体" w:eastAsia="仿宋_GB2312" w:cs="宋体"/>
                <w:sz w:val="21"/>
                <w:szCs w:val="21"/>
              </w:rPr>
            </w:pPr>
            <w:r>
              <w:rPr>
                <w:rFonts w:hint="eastAsia" w:ascii="仿宋_GB2312" w:hAnsi="宋体" w:eastAsia="仿宋_GB2312" w:cs="宋体"/>
                <w:sz w:val="21"/>
                <w:szCs w:val="21"/>
              </w:rPr>
              <w:t>2、提供预约挂号，得3分</w:t>
            </w:r>
          </w:p>
          <w:p>
            <w:pPr>
              <w:spacing w:line="380" w:lineRule="exact"/>
              <w:rPr>
                <w:rFonts w:ascii="仿宋_GB2312" w:hAnsi="宋体" w:eastAsia="仿宋_GB2312" w:cs="宋体"/>
                <w:sz w:val="21"/>
                <w:szCs w:val="21"/>
              </w:rPr>
            </w:pPr>
            <w:r>
              <w:rPr>
                <w:rFonts w:hint="eastAsia" w:ascii="仿宋_GB2312" w:hAnsi="宋体" w:eastAsia="仿宋_GB2312" w:cs="宋体"/>
                <w:sz w:val="21"/>
                <w:szCs w:val="21"/>
              </w:rPr>
              <w:t>3、提供重疾住院安排，得3分</w:t>
            </w:r>
          </w:p>
          <w:p>
            <w:pPr>
              <w:spacing w:line="380" w:lineRule="exact"/>
              <w:rPr>
                <w:rFonts w:ascii="仿宋_GB2312" w:hAnsi="宋体" w:eastAsia="仿宋_GB2312" w:cs="宋体"/>
                <w:sz w:val="21"/>
                <w:szCs w:val="21"/>
              </w:rPr>
            </w:pPr>
            <w:r>
              <w:rPr>
                <w:rFonts w:hint="eastAsia" w:ascii="仿宋_GB2312" w:hAnsi="宋体" w:eastAsia="仿宋_GB2312" w:cs="宋体"/>
                <w:sz w:val="21"/>
                <w:szCs w:val="21"/>
              </w:rPr>
              <w:t>4.提供上述要求的书面承诺书及相关证明材料，否则不得分。</w:t>
            </w:r>
          </w:p>
        </w:tc>
        <w:tc>
          <w:tcPr>
            <w:tcW w:w="1122" w:type="dxa"/>
            <w:gridSpan w:val="2"/>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ascii="仿宋_GB2312" w:hAnsi="仿宋" w:eastAsia="仿宋_GB2312" w:cs="宋体"/>
                <w:b/>
                <w:bCs/>
                <w:sz w:val="21"/>
                <w:szCs w:val="21"/>
              </w:rPr>
            </w:pPr>
            <w:r>
              <w:rPr>
                <w:rFonts w:hint="eastAsia" w:ascii="仿宋_GB2312" w:hAnsi="仿宋" w:eastAsia="仿宋_GB2312" w:cs="宋体"/>
                <w:b/>
                <w:bCs/>
                <w:sz w:val="21"/>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9" w:hRule="atLeast"/>
          <w:jc w:val="center"/>
        </w:trPr>
        <w:tc>
          <w:tcPr>
            <w:tcW w:w="8802" w:type="dxa"/>
            <w:gridSpan w:val="2"/>
            <w:tcBorders>
              <w:top w:val="single" w:color="auto" w:sz="6" w:space="0"/>
              <w:left w:val="single" w:color="auto" w:sz="12" w:space="0"/>
              <w:bottom w:val="single" w:color="auto" w:sz="6" w:space="0"/>
              <w:right w:val="single" w:color="auto" w:sz="6" w:space="0"/>
            </w:tcBorders>
            <w:vAlign w:val="center"/>
          </w:tcPr>
          <w:p>
            <w:pPr>
              <w:spacing w:line="380" w:lineRule="exact"/>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合计：</w:t>
            </w:r>
          </w:p>
        </w:tc>
        <w:tc>
          <w:tcPr>
            <w:tcW w:w="1122" w:type="dxa"/>
            <w:gridSpan w:val="2"/>
            <w:tcBorders>
              <w:top w:val="single" w:color="auto" w:sz="6" w:space="0"/>
              <w:left w:val="single" w:color="auto" w:sz="6" w:space="0"/>
              <w:bottom w:val="single" w:color="auto" w:sz="6" w:space="0"/>
              <w:right w:val="single" w:color="auto" w:sz="12" w:space="0"/>
            </w:tcBorders>
            <w:vAlign w:val="center"/>
          </w:tcPr>
          <w:p>
            <w:pPr>
              <w:spacing w:line="380" w:lineRule="exact"/>
              <w:jc w:val="center"/>
              <w:rPr>
                <w:rFonts w:hint="eastAsia" w:ascii="仿宋_GB2312" w:hAnsi="仿宋" w:eastAsia="仿宋_GB2312" w:cs="宋体"/>
                <w:b/>
                <w:bCs/>
                <w:sz w:val="21"/>
                <w:szCs w:val="21"/>
                <w:lang w:val="en-US" w:eastAsia="zh-CN"/>
              </w:rPr>
            </w:pPr>
            <w:r>
              <w:rPr>
                <w:rFonts w:hint="eastAsia" w:ascii="仿宋_GB2312" w:hAnsi="仿宋" w:eastAsia="仿宋_GB2312" w:cs="宋体"/>
                <w:b/>
                <w:bCs/>
                <w:sz w:val="21"/>
                <w:szCs w:val="21"/>
              </w:rPr>
              <w:t>100</w:t>
            </w:r>
            <w:r>
              <w:rPr>
                <w:rFonts w:hint="eastAsia" w:ascii="仿宋_GB2312" w:hAnsi="仿宋" w:eastAsia="仿宋_GB2312" w:cs="宋体"/>
                <w:b/>
                <w:bCs/>
                <w:sz w:val="21"/>
                <w:szCs w:val="21"/>
                <w:lang w:val="en-US" w:eastAsia="zh-CN"/>
              </w:rPr>
              <w:t>分</w:t>
            </w:r>
          </w:p>
        </w:tc>
      </w:tr>
    </w:tbl>
    <w:p>
      <w:pPr>
        <w:spacing w:line="240" w:lineRule="exact"/>
        <w:rPr>
          <w:rFonts w:hint="eastAsia" w:ascii="仿宋_GB2312" w:eastAsia="仿宋_GB2312"/>
          <w:sz w:val="21"/>
          <w:szCs w:val="21"/>
        </w:rPr>
      </w:pPr>
    </w:p>
    <w:sectPr>
      <w:pgSz w:w="11906" w:h="16838"/>
      <w:pgMar w:top="1134" w:right="850" w:bottom="850" w:left="85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97"/>
    <w:rsid w:val="000350BC"/>
    <w:rsid w:val="00082A45"/>
    <w:rsid w:val="000D2679"/>
    <w:rsid w:val="00112D60"/>
    <w:rsid w:val="00116D13"/>
    <w:rsid w:val="00145FA0"/>
    <w:rsid w:val="001E02D6"/>
    <w:rsid w:val="00234769"/>
    <w:rsid w:val="00337558"/>
    <w:rsid w:val="0036323C"/>
    <w:rsid w:val="003B5C60"/>
    <w:rsid w:val="003F422D"/>
    <w:rsid w:val="00400E48"/>
    <w:rsid w:val="0045212D"/>
    <w:rsid w:val="00482D4C"/>
    <w:rsid w:val="00500381"/>
    <w:rsid w:val="00585FCC"/>
    <w:rsid w:val="005A79E0"/>
    <w:rsid w:val="00643E8C"/>
    <w:rsid w:val="0065441E"/>
    <w:rsid w:val="006C5F6D"/>
    <w:rsid w:val="00726E5C"/>
    <w:rsid w:val="007411DE"/>
    <w:rsid w:val="00750471"/>
    <w:rsid w:val="007A5FA5"/>
    <w:rsid w:val="007F4497"/>
    <w:rsid w:val="00842032"/>
    <w:rsid w:val="00974DB5"/>
    <w:rsid w:val="009E7F2B"/>
    <w:rsid w:val="00A15700"/>
    <w:rsid w:val="00A64199"/>
    <w:rsid w:val="00A90A23"/>
    <w:rsid w:val="00B24341"/>
    <w:rsid w:val="00B24E83"/>
    <w:rsid w:val="00BF51B7"/>
    <w:rsid w:val="00BF5AC7"/>
    <w:rsid w:val="00C40B76"/>
    <w:rsid w:val="00CA2FD1"/>
    <w:rsid w:val="00CB33D8"/>
    <w:rsid w:val="00D838AF"/>
    <w:rsid w:val="00DA60A8"/>
    <w:rsid w:val="00E32EE0"/>
    <w:rsid w:val="00E848A9"/>
    <w:rsid w:val="00F644AE"/>
    <w:rsid w:val="00F8635E"/>
    <w:rsid w:val="2E8A37EE"/>
    <w:rsid w:val="31E76CE0"/>
    <w:rsid w:val="38E12C07"/>
    <w:rsid w:val="42DA173E"/>
    <w:rsid w:val="44FE0ECF"/>
    <w:rsid w:val="53434475"/>
    <w:rsid w:val="63A43B59"/>
    <w:rsid w:val="6DBD361B"/>
    <w:rsid w:val="7A450A90"/>
    <w:rsid w:val="7F2427EA"/>
    <w:rsid w:val="7F2B0DC9"/>
    <w:rsid w:val="7F63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3">
    <w:name w:val="header"/>
    <w:basedOn w:val="1"/>
    <w:link w:val="6"/>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306</Words>
  <Characters>1750</Characters>
  <Lines>14</Lines>
  <Paragraphs>4</Paragraphs>
  <TotalTime>5</TotalTime>
  <ScaleCrop>false</ScaleCrop>
  <LinksUpToDate>false</LinksUpToDate>
  <CharactersWithSpaces>2052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2020-04-13T03:28:00Z</dcterms:created>
  <dc:creator>Windows 用户</dc:creator>
  <cp:lastModifiedBy>总公司管理员</cp:lastModifiedBy>
  <cp:lastPrinted>2021-04-14T01:55:00Z</cp:lastPrinted>
  <dcterms:modified xsi:type="dcterms:W3CDTF">2021-04-20T07:41:54Z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7F014F31ED3043129D34CBE5AAD7EE9F</vt:lpwstr>
  </property>
</Properties>
</file>